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AB" w:rsidRPr="00A72C39" w:rsidRDefault="003A5DAB" w:rsidP="003A5DAB">
      <w:pPr>
        <w:jc w:val="right"/>
        <w:rPr>
          <w:rFonts w:ascii="Times New Roman" w:hAnsi="Times New Roman" w:cs="Times New Roman"/>
          <w:noProof/>
          <w:sz w:val="28"/>
          <w:szCs w:val="28"/>
          <w:lang w:eastAsia="sk-SK"/>
        </w:rPr>
      </w:pPr>
      <w:r>
        <w:rPr>
          <w:noProof/>
          <w:sz w:val="36"/>
          <w:szCs w:val="36"/>
          <w:lang w:eastAsia="ru-RU"/>
        </w:rPr>
        <w:drawing>
          <wp:inline distT="0" distB="0" distL="0" distR="0" wp14:anchorId="654F6B3B" wp14:editId="32D1A747">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r>
        <w:rPr>
          <w:noProof/>
          <w:sz w:val="36"/>
          <w:szCs w:val="36"/>
          <w:lang w:eastAsia="ru-RU"/>
        </w:rPr>
        <w:tab/>
      </w:r>
      <w:r>
        <w:rPr>
          <w:noProof/>
          <w:sz w:val="36"/>
          <w:szCs w:val="36"/>
          <w:lang w:eastAsia="ru-RU"/>
        </w:rPr>
        <w:tab/>
      </w:r>
      <w:r>
        <w:rPr>
          <w:noProof/>
          <w:sz w:val="36"/>
          <w:szCs w:val="36"/>
          <w:lang w:eastAsia="ru-RU"/>
        </w:rPr>
        <w:tab/>
      </w:r>
      <w:r>
        <w:rPr>
          <w:noProof/>
          <w:sz w:val="36"/>
          <w:szCs w:val="36"/>
          <w:lang w:eastAsia="ru-RU"/>
        </w:rPr>
        <w:tab/>
      </w:r>
      <w:r>
        <w:rPr>
          <w:noProof/>
          <w:sz w:val="36"/>
          <w:szCs w:val="36"/>
          <w:lang w:eastAsia="ru-RU"/>
        </w:rPr>
        <w:tab/>
      </w:r>
      <w:r>
        <w:rPr>
          <w:noProof/>
          <w:sz w:val="36"/>
          <w:szCs w:val="36"/>
          <w:lang w:eastAsia="ru-RU"/>
        </w:rPr>
        <w:tab/>
      </w:r>
      <w:r>
        <w:rPr>
          <w:noProof/>
          <w:sz w:val="36"/>
          <w:szCs w:val="36"/>
          <w:lang w:eastAsia="ru-RU"/>
        </w:rPr>
        <w:tab/>
      </w:r>
      <w:r w:rsidRPr="00A72C39">
        <w:rPr>
          <w:rFonts w:ascii="Times New Roman" w:hAnsi="Times New Roman" w:cs="Times New Roman"/>
          <w:noProof/>
          <w:sz w:val="28"/>
          <w:szCs w:val="28"/>
          <w:lang w:eastAsia="ru-RU"/>
        </w:rPr>
        <w:t>С</w:t>
      </w:r>
      <w:r w:rsidRPr="00A72C39">
        <w:rPr>
          <w:rFonts w:ascii="Times New Roman" w:hAnsi="Times New Roman" w:cs="Times New Roman"/>
          <w:noProof/>
          <w:sz w:val="28"/>
          <w:szCs w:val="28"/>
          <w:lang w:eastAsia="sk-SK"/>
        </w:rPr>
        <w:t>татья</w:t>
      </w:r>
    </w:p>
    <w:p w:rsidR="003A5DAB" w:rsidRDefault="003A5DAB" w:rsidP="009935AF">
      <w:pPr>
        <w:pStyle w:val="a3"/>
        <w:shd w:val="clear" w:color="auto" w:fill="FFFFFF"/>
        <w:spacing w:before="0" w:beforeAutospacing="0" w:after="0" w:afterAutospacing="0"/>
        <w:jc w:val="center"/>
        <w:rPr>
          <w:rStyle w:val="a4"/>
          <w:color w:val="202020"/>
          <w:sz w:val="28"/>
          <w:szCs w:val="28"/>
        </w:rPr>
      </w:pPr>
    </w:p>
    <w:p w:rsidR="009935AF" w:rsidRDefault="009935AF" w:rsidP="009935AF">
      <w:pPr>
        <w:pStyle w:val="a3"/>
        <w:shd w:val="clear" w:color="auto" w:fill="FFFFFF"/>
        <w:spacing w:before="0" w:beforeAutospacing="0" w:after="0" w:afterAutospacing="0"/>
        <w:jc w:val="center"/>
        <w:rPr>
          <w:rStyle w:val="a4"/>
          <w:color w:val="202020"/>
          <w:sz w:val="28"/>
          <w:szCs w:val="28"/>
        </w:rPr>
      </w:pPr>
      <w:r>
        <w:rPr>
          <w:rStyle w:val="a4"/>
          <w:color w:val="202020"/>
          <w:sz w:val="28"/>
          <w:szCs w:val="28"/>
        </w:rPr>
        <w:t xml:space="preserve">Как </w:t>
      </w:r>
      <w:r w:rsidRPr="009935AF">
        <w:rPr>
          <w:rStyle w:val="a4"/>
          <w:color w:val="202020"/>
          <w:sz w:val="28"/>
          <w:szCs w:val="28"/>
        </w:rPr>
        <w:t>установ</w:t>
      </w:r>
      <w:r>
        <w:rPr>
          <w:rStyle w:val="a4"/>
          <w:color w:val="202020"/>
          <w:sz w:val="28"/>
          <w:szCs w:val="28"/>
        </w:rPr>
        <w:t>ить вид</w:t>
      </w:r>
      <w:r w:rsidRPr="009935AF">
        <w:rPr>
          <w:rStyle w:val="a4"/>
          <w:color w:val="202020"/>
          <w:sz w:val="28"/>
          <w:szCs w:val="28"/>
        </w:rPr>
        <w:t xml:space="preserve"> разрешенного использования для земельных участков</w:t>
      </w:r>
      <w:r>
        <w:rPr>
          <w:rStyle w:val="a4"/>
          <w:color w:val="202020"/>
          <w:sz w:val="28"/>
          <w:szCs w:val="28"/>
        </w:rPr>
        <w:t>?</w:t>
      </w:r>
    </w:p>
    <w:p w:rsidR="009935AF" w:rsidRPr="009935AF" w:rsidRDefault="009935AF" w:rsidP="009935AF">
      <w:pPr>
        <w:pStyle w:val="a3"/>
        <w:shd w:val="clear" w:color="auto" w:fill="FFFFFF"/>
        <w:spacing w:before="0" w:beforeAutospacing="0" w:after="0" w:afterAutospacing="0"/>
        <w:jc w:val="center"/>
        <w:rPr>
          <w:color w:val="202020"/>
          <w:sz w:val="28"/>
          <w:szCs w:val="28"/>
        </w:rPr>
      </w:pP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Правовой режим земель определяется исходя из их принадлежности к определенной категории по целевому назначению и виду разрешенного использования в соответствии с зонированием территории и требованиями законодательства.</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Виды разрешенного использования (основные, условно разрешенные, вспомогательные) земельных участков и объектов капитального строительства, расположенных в пределах соответствующей территориальной зоны, указываются в градостроительном регламенте. Основные виды разрешенного использования устанавливаются в обязательном порядке применительно к каждой территориальной зоне.</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Изменение одного вида разрешенного использования (далее - ВРИ) на другой осуществляется в соответствии с градостроительным регламентом при условии соблюдения требований технических регламентов.</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Основные и вспомогательные ВРИ земельных участков самостоятельно выбираются правообладателями земельных участков без дополнительных разрешений и согласования. Не могут выбрать: органы государственной власти, местного самоуправления, государственные и муниципальные учреждения, государственные и муниципальные унитарные предприятия.</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Условно разрешенный вид использования не может быть выбран правообладателем самостоятельно.</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Чтобы получить разрешение главы местной администрации на условно разрешенный вид использования, нужно пройти специальную процедуру (определена ст</w:t>
      </w:r>
      <w:r>
        <w:rPr>
          <w:color w:val="202020"/>
          <w:sz w:val="28"/>
          <w:szCs w:val="28"/>
        </w:rPr>
        <w:t>атьей</w:t>
      </w:r>
      <w:r w:rsidRPr="009935AF">
        <w:rPr>
          <w:color w:val="202020"/>
          <w:sz w:val="28"/>
          <w:szCs w:val="28"/>
        </w:rPr>
        <w:t xml:space="preserve"> 39 Градостроительного кодекса Р</w:t>
      </w:r>
      <w:r>
        <w:rPr>
          <w:color w:val="202020"/>
          <w:sz w:val="28"/>
          <w:szCs w:val="28"/>
        </w:rPr>
        <w:t xml:space="preserve">оссийской </w:t>
      </w:r>
      <w:r w:rsidRPr="009935AF">
        <w:rPr>
          <w:color w:val="202020"/>
          <w:sz w:val="28"/>
          <w:szCs w:val="28"/>
        </w:rPr>
        <w:t>Ф</w:t>
      </w:r>
      <w:r>
        <w:rPr>
          <w:color w:val="202020"/>
          <w:sz w:val="28"/>
          <w:szCs w:val="28"/>
        </w:rPr>
        <w:t>едерации</w:t>
      </w:r>
      <w:r w:rsidRPr="009935AF">
        <w:rPr>
          <w:color w:val="202020"/>
          <w:sz w:val="28"/>
          <w:szCs w:val="28"/>
        </w:rPr>
        <w:t>), которая предусматривает в том числе, проведение публичных слушаний. При внесении изменений в Единый государственный реестр недвижимости регистратор проверяет, была ли проведена процедура, предусмотренная законодательством.</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Изменение ВРИ возможно по заявлению собственников земельных участков, землепользователей, землевладельцев.</w:t>
      </w:r>
    </w:p>
    <w:p w:rsid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color w:val="202020"/>
          <w:sz w:val="28"/>
          <w:szCs w:val="28"/>
        </w:rPr>
        <w:t xml:space="preserve">Арендатор земельного участка тоже может обратиться с заявлением об изменении вида разрешенного использования участка. Но необходимо помнить, что нельзя внести изменения, касающиеся вида разрешенного использования, в договор аренды земельного участка, находящегося в государственной или муниципальной собственности, заключенный по результатам аукциона или в случае признания аукциона несостоявшимся с </w:t>
      </w:r>
      <w:r w:rsidRPr="009935AF">
        <w:rPr>
          <w:color w:val="202020"/>
          <w:sz w:val="28"/>
          <w:szCs w:val="28"/>
        </w:rPr>
        <w:lastRenderedPageBreak/>
        <w:t>лицами, указанными в пункте 13, 14 или 20 статьи 39.12 Земельного кодекса РФ.</w:t>
      </w:r>
    </w:p>
    <w:p w:rsidR="009935AF" w:rsidRDefault="009935AF" w:rsidP="009935AF">
      <w:pPr>
        <w:pStyle w:val="a3"/>
        <w:shd w:val="clear" w:color="auto" w:fill="FFFFFF"/>
        <w:spacing w:before="0" w:beforeAutospacing="0" w:after="0" w:afterAutospacing="0"/>
        <w:ind w:firstLine="709"/>
        <w:jc w:val="both"/>
        <w:rPr>
          <w:rStyle w:val="a5"/>
          <w:b/>
          <w:bCs/>
          <w:color w:val="202020"/>
          <w:sz w:val="28"/>
          <w:szCs w:val="28"/>
        </w:rPr>
      </w:pP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rStyle w:val="a5"/>
          <w:b/>
          <w:bCs/>
          <w:color w:val="202020"/>
          <w:sz w:val="28"/>
          <w:szCs w:val="28"/>
        </w:rPr>
        <w:t>Важно.</w:t>
      </w:r>
      <w:r w:rsidRPr="009935AF">
        <w:rPr>
          <w:rStyle w:val="apple-converted-space"/>
          <w:b/>
          <w:bCs/>
          <w:i/>
          <w:iCs/>
          <w:color w:val="202020"/>
          <w:sz w:val="28"/>
          <w:szCs w:val="28"/>
        </w:rPr>
        <w:t> </w:t>
      </w:r>
      <w:r w:rsidRPr="009935AF">
        <w:rPr>
          <w:rStyle w:val="a5"/>
          <w:color w:val="202020"/>
          <w:sz w:val="28"/>
          <w:szCs w:val="28"/>
        </w:rPr>
        <w:t>Правообладатель не может самостоятельно изменить ВРИ земельного участка, если он расположен на сельскохозяйственных угодьях земель сельскохозяйственного назначения.</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rStyle w:val="a5"/>
          <w:color w:val="202020"/>
          <w:sz w:val="28"/>
          <w:szCs w:val="28"/>
        </w:rPr>
        <w:t>Изменение вида разрешенного использования для сельскохозяйственных угодий в составе земель сельскохозяйственного назначения возможно только после перевода этих земель или земельных участков в составе таких земель из земель сельскохозяйственного назначения в другую категорию. Случаи перевода указаны в Федеральном законе «О переводе земель или земельных участков из одной категории в другую» (от 21.12.2004 №172-ФЗ, ст.7). Например, установление или изменение черты населенных пунктов.</w:t>
      </w:r>
    </w:p>
    <w:p w:rsidR="009935AF" w:rsidRPr="009935AF" w:rsidRDefault="009935AF" w:rsidP="009935AF">
      <w:pPr>
        <w:pStyle w:val="a3"/>
        <w:shd w:val="clear" w:color="auto" w:fill="FFFFFF"/>
        <w:spacing w:before="0" w:beforeAutospacing="0" w:after="0" w:afterAutospacing="0"/>
        <w:ind w:firstLine="709"/>
        <w:jc w:val="both"/>
        <w:rPr>
          <w:color w:val="202020"/>
          <w:sz w:val="28"/>
          <w:szCs w:val="28"/>
        </w:rPr>
      </w:pPr>
      <w:r w:rsidRPr="009935AF">
        <w:rPr>
          <w:rStyle w:val="a4"/>
          <w:i/>
          <w:iCs/>
          <w:color w:val="202020"/>
          <w:sz w:val="28"/>
          <w:szCs w:val="28"/>
        </w:rPr>
        <w:t>На заметку.</w:t>
      </w:r>
      <w:r w:rsidRPr="009935AF">
        <w:rPr>
          <w:rStyle w:val="apple-converted-space"/>
          <w:color w:val="202020"/>
          <w:sz w:val="28"/>
          <w:szCs w:val="28"/>
        </w:rPr>
        <w:t> </w:t>
      </w:r>
      <w:r w:rsidRPr="009935AF">
        <w:rPr>
          <w:rStyle w:val="a5"/>
          <w:color w:val="202020"/>
          <w:sz w:val="28"/>
          <w:szCs w:val="28"/>
        </w:rPr>
        <w:t>Если земельные участки и объекты капитального строительства расположены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об изменении одного вида разрешенного строительства на другой вид принимаются в соответствии с федеральными законами.</w:t>
      </w:r>
    </w:p>
    <w:p w:rsidR="009D0060" w:rsidRDefault="003A5DAB" w:rsidP="003A5DAB">
      <w:pPr>
        <w:spacing w:after="0" w:line="240" w:lineRule="auto"/>
        <w:jc w:val="both"/>
        <w:rPr>
          <w:rFonts w:ascii="Times New Roman" w:hAnsi="Times New Roman" w:cs="Times New Roman"/>
          <w:sz w:val="28"/>
          <w:szCs w:val="28"/>
        </w:rPr>
      </w:pPr>
    </w:p>
    <w:p w:rsidR="003A5DAB" w:rsidRDefault="003A5DAB" w:rsidP="003A5DAB">
      <w:pPr>
        <w:spacing w:after="0" w:line="240" w:lineRule="auto"/>
        <w:jc w:val="both"/>
        <w:rPr>
          <w:rFonts w:ascii="Times New Roman" w:hAnsi="Times New Roman" w:cs="Times New Roman"/>
          <w:sz w:val="28"/>
          <w:szCs w:val="28"/>
        </w:rPr>
      </w:pPr>
    </w:p>
    <w:p w:rsidR="003A5DAB" w:rsidRPr="003A5DAB" w:rsidRDefault="003A5DAB" w:rsidP="003A5DAB">
      <w:pPr>
        <w:spacing w:after="0" w:line="240" w:lineRule="auto"/>
        <w:ind w:firstLine="567"/>
        <w:jc w:val="right"/>
        <w:rPr>
          <w:rFonts w:ascii="Times New Roman" w:eastAsia="Times New Roman" w:hAnsi="Times New Roman" w:cs="Times New Roman"/>
          <w:b/>
          <w:bCs/>
          <w:color w:val="000000"/>
          <w:sz w:val="28"/>
          <w:szCs w:val="28"/>
          <w:lang w:val="sah-RU" w:eastAsia="ru-RU"/>
        </w:rPr>
      </w:pPr>
      <w:r w:rsidRPr="003A5DAB">
        <w:rPr>
          <w:rFonts w:ascii="Times New Roman" w:eastAsia="Times New Roman" w:hAnsi="Times New Roman" w:cs="Times New Roman"/>
          <w:b/>
          <w:bCs/>
          <w:color w:val="000000"/>
          <w:sz w:val="28"/>
          <w:szCs w:val="28"/>
          <w:lang w:val="sah-RU" w:eastAsia="ru-RU"/>
        </w:rPr>
        <w:t>Пресс-центр Управления Росреестра</w:t>
      </w:r>
    </w:p>
    <w:p w:rsidR="003A5DAB" w:rsidRPr="003A5DAB" w:rsidRDefault="003A5DAB" w:rsidP="003A5DAB">
      <w:pPr>
        <w:spacing w:after="0" w:line="240" w:lineRule="auto"/>
        <w:ind w:firstLine="567"/>
        <w:jc w:val="right"/>
        <w:rPr>
          <w:rFonts w:ascii="Times New Roman" w:eastAsia="Times New Roman" w:hAnsi="Times New Roman" w:cs="Times New Roman"/>
          <w:color w:val="000000"/>
          <w:sz w:val="27"/>
          <w:szCs w:val="27"/>
          <w:lang w:eastAsia="ru-RU"/>
        </w:rPr>
      </w:pPr>
      <w:r w:rsidRPr="003A5DAB">
        <w:rPr>
          <w:rFonts w:ascii="Times New Roman" w:eastAsia="Times New Roman" w:hAnsi="Times New Roman" w:cs="Times New Roman"/>
          <w:b/>
          <w:bCs/>
          <w:color w:val="000000"/>
          <w:sz w:val="28"/>
          <w:szCs w:val="28"/>
          <w:lang w:val="sah-RU" w:eastAsia="ru-RU"/>
        </w:rPr>
        <w:t xml:space="preserve"> по Республике Саха (Якутия)</w:t>
      </w:r>
    </w:p>
    <w:p w:rsidR="003A5DAB" w:rsidRPr="003A5DAB" w:rsidRDefault="003A5DAB" w:rsidP="003A5DAB">
      <w:pPr>
        <w:pStyle w:val="a7"/>
        <w:ind w:left="0"/>
        <w:contextualSpacing w:val="0"/>
        <w:jc w:val="both"/>
        <w:rPr>
          <w:bCs/>
          <w:color w:val="000000"/>
          <w:sz w:val="22"/>
          <w:szCs w:val="22"/>
        </w:rPr>
      </w:pPr>
    </w:p>
    <w:p w:rsidR="003A5DAB" w:rsidRPr="00B933EC" w:rsidRDefault="003A5DAB" w:rsidP="003A5DAB">
      <w:pPr>
        <w:pStyle w:val="a3"/>
        <w:spacing w:before="0" w:beforeAutospacing="0" w:after="0" w:afterAutospacing="0"/>
        <w:rPr>
          <w:rFonts w:ascii="Segoe UI" w:eastAsia="Calibri" w:hAnsi="Segoe UI" w:cs="Segoe UI"/>
          <w:sz w:val="20"/>
          <w:szCs w:val="20"/>
          <w:lang w:eastAsia="en-US"/>
        </w:rPr>
      </w:pPr>
      <w:r>
        <w:rPr>
          <w:rFonts w:ascii="Segoe UI" w:eastAsia="Calibri" w:hAnsi="Segoe UI" w:cs="Segoe UI"/>
          <w:noProof/>
          <w:sz w:val="20"/>
          <w:szCs w:val="20"/>
        </w:rPr>
        <mc:AlternateContent>
          <mc:Choice Requires="wps">
            <w:drawing>
              <wp:anchor distT="4294967291" distB="4294967291" distL="114300" distR="114300" simplePos="0" relativeHeight="251659264" behindDoc="0" locked="0" layoutInCell="1" allowOverlap="1" wp14:anchorId="135E4095" wp14:editId="21E04AFB">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115BF"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3A5DAB" w:rsidRDefault="003A5DAB" w:rsidP="003A5DAB">
      <w:pPr>
        <w:spacing w:after="0" w:line="240" w:lineRule="auto"/>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О Росреестре</w:t>
      </w:r>
    </w:p>
    <w:p w:rsidR="003A5DAB" w:rsidRDefault="003A5DAB" w:rsidP="003A5DAB">
      <w:pPr>
        <w:spacing w:after="0" w:line="240" w:lineRule="auto"/>
        <w:jc w:val="both"/>
        <w:rPr>
          <w:rFonts w:ascii="Segoe UI" w:eastAsia="Calibri" w:hAnsi="Segoe UI" w:cs="Segoe UI"/>
          <w:b/>
          <w:kern w:val="2"/>
          <w:sz w:val="20"/>
          <w:szCs w:val="20"/>
          <w:lang w:eastAsia="ru-RU"/>
        </w:rPr>
      </w:pPr>
      <w:r>
        <w:rPr>
          <w:rFonts w:ascii="Segoe UI" w:hAnsi="Segoe UI" w:cs="Segoe UI"/>
          <w:kern w:val="2"/>
          <w:sz w:val="20"/>
          <w:szCs w:val="20"/>
        </w:rPr>
        <w:t>Управление Федеральной службы государственной регистрации, кадастра и картографии по Республике Саха (Якутия) является территориальным Управлением федерального органа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w:t>
      </w:r>
      <w:bookmarkStart w:id="0" w:name="_GoBack"/>
      <w:bookmarkEnd w:id="0"/>
      <w:r>
        <w:rPr>
          <w:rFonts w:ascii="Segoe UI" w:hAnsi="Segoe UI" w:cs="Segoe UI"/>
          <w:kern w:val="2"/>
          <w:sz w:val="20"/>
          <w:szCs w:val="20"/>
        </w:rPr>
        <w:t xml:space="preserve">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A5DAB" w:rsidRDefault="003A5DAB" w:rsidP="003A5DAB">
      <w:pPr>
        <w:spacing w:after="0" w:line="240" w:lineRule="auto"/>
        <w:jc w:val="both"/>
        <w:rPr>
          <w:rFonts w:ascii="Segoe UI" w:hAnsi="Segoe UI" w:cs="Segoe UI"/>
          <w:b/>
          <w:noProof/>
          <w:kern w:val="2"/>
          <w:sz w:val="20"/>
          <w:szCs w:val="20"/>
          <w:lang w:eastAsia="sk-SK"/>
        </w:rPr>
      </w:pPr>
    </w:p>
    <w:p w:rsidR="003A5DAB" w:rsidRDefault="003A5DAB" w:rsidP="003A5DAB">
      <w:pPr>
        <w:spacing w:after="0" w:line="240" w:lineRule="auto"/>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3A5DAB" w:rsidRDefault="003A5DAB" w:rsidP="003A5DAB">
      <w:pPr>
        <w:spacing w:after="0" w:line="240" w:lineRule="auto"/>
        <w:rPr>
          <w:rFonts w:ascii="Segoe UI" w:hAnsi="Segoe UI" w:cs="Segoe UI"/>
          <w:kern w:val="2"/>
          <w:sz w:val="20"/>
          <w:szCs w:val="20"/>
        </w:rPr>
      </w:pPr>
    </w:p>
    <w:p w:rsidR="003A5DAB" w:rsidRDefault="003A5DAB" w:rsidP="003A5DAB">
      <w:pPr>
        <w:spacing w:after="0" w:line="240" w:lineRule="auto"/>
        <w:rPr>
          <w:rFonts w:ascii="Segoe UI" w:hAnsi="Segoe UI" w:cs="Segoe UI"/>
          <w:kern w:val="2"/>
          <w:sz w:val="20"/>
          <w:szCs w:val="20"/>
        </w:rPr>
      </w:pPr>
      <w:r>
        <w:rPr>
          <w:rFonts w:ascii="Segoe UI" w:hAnsi="Segoe UI" w:cs="Segoe UI"/>
          <w:kern w:val="2"/>
          <w:sz w:val="20"/>
          <w:szCs w:val="20"/>
        </w:rPr>
        <w:t>Пресс-служба Управления Росреестра по Республике Саха (Якутия)</w:t>
      </w:r>
    </w:p>
    <w:p w:rsidR="003A5DAB" w:rsidRDefault="003A5DAB" w:rsidP="003A5DAB">
      <w:pPr>
        <w:spacing w:after="0" w:line="240" w:lineRule="auto"/>
        <w:rPr>
          <w:rFonts w:ascii="Segoe UI" w:eastAsia="Calibri" w:hAnsi="Segoe UI" w:cs="Segoe UI"/>
          <w:sz w:val="20"/>
          <w:szCs w:val="20"/>
          <w:lang w:eastAsia="ru-RU"/>
        </w:rPr>
      </w:pPr>
      <w:r>
        <w:rPr>
          <w:rFonts w:ascii="Segoe UI" w:eastAsia="Calibri" w:hAnsi="Segoe UI" w:cs="Segoe UI"/>
          <w:sz w:val="20"/>
          <w:szCs w:val="20"/>
          <w:lang w:eastAsia="ru-RU"/>
        </w:rPr>
        <w:t>Корнилов Станислав Егорович</w:t>
      </w:r>
    </w:p>
    <w:p w:rsidR="003A5DAB" w:rsidRDefault="003A5DAB" w:rsidP="003A5DAB">
      <w:pPr>
        <w:spacing w:after="0" w:line="240" w:lineRule="auto"/>
        <w:rPr>
          <w:rFonts w:ascii="Segoe UI" w:eastAsia="Calibri" w:hAnsi="Segoe UI" w:cs="Segoe UI"/>
          <w:sz w:val="20"/>
          <w:szCs w:val="20"/>
          <w:lang w:eastAsia="ru-RU"/>
        </w:rPr>
      </w:pPr>
    </w:p>
    <w:p w:rsidR="003A5DAB" w:rsidRPr="00E02793" w:rsidRDefault="003A5DAB" w:rsidP="003A5DAB">
      <w:pPr>
        <w:spacing w:after="0" w:line="240" w:lineRule="auto"/>
        <w:rPr>
          <w:rFonts w:cs="Times New Roman"/>
        </w:rPr>
      </w:pPr>
      <w:r w:rsidRPr="00E02793">
        <w:rPr>
          <w:rFonts w:cs="Times New Roman"/>
        </w:rPr>
        <w:t>14_</w:t>
      </w:r>
      <w:proofErr w:type="spellStart"/>
      <w:r w:rsidRPr="00E02793">
        <w:rPr>
          <w:rFonts w:cs="Times New Roman"/>
          <w:lang w:val="en-US"/>
        </w:rPr>
        <w:t>upr</w:t>
      </w:r>
      <w:proofErr w:type="spellEnd"/>
      <w:r w:rsidRPr="00E02793">
        <w:rPr>
          <w:rFonts w:cs="Times New Roman"/>
        </w:rPr>
        <w:t>@</w:t>
      </w:r>
      <w:proofErr w:type="spellStart"/>
      <w:r w:rsidRPr="00E02793">
        <w:rPr>
          <w:rFonts w:cs="Times New Roman"/>
          <w:lang w:val="en-US"/>
        </w:rPr>
        <w:t>rosreestr</w:t>
      </w:r>
      <w:proofErr w:type="spellEnd"/>
      <w:r w:rsidRPr="00E02793">
        <w:rPr>
          <w:rFonts w:cs="Times New Roman"/>
        </w:rPr>
        <w:t>.</w:t>
      </w:r>
      <w:proofErr w:type="spellStart"/>
      <w:r w:rsidRPr="00E02793">
        <w:rPr>
          <w:rFonts w:cs="Times New Roman"/>
          <w:lang w:val="en-US"/>
        </w:rPr>
        <w:t>ru</w:t>
      </w:r>
      <w:proofErr w:type="spellEnd"/>
      <w:r w:rsidRPr="00E02793">
        <w:rPr>
          <w:rFonts w:cs="Times New Roman"/>
        </w:rPr>
        <w:t xml:space="preserve">; </w:t>
      </w:r>
      <w:r w:rsidRPr="00E02793">
        <w:rPr>
          <w:rFonts w:cs="Times New Roman"/>
          <w:lang w:val="en-US"/>
        </w:rPr>
        <w:t>inform</w:t>
      </w:r>
      <w:r w:rsidRPr="00E02793">
        <w:rPr>
          <w:rFonts w:cs="Times New Roman"/>
        </w:rPr>
        <w:t>@</w:t>
      </w:r>
      <w:proofErr w:type="spellStart"/>
      <w:r w:rsidRPr="00E02793">
        <w:rPr>
          <w:rFonts w:cs="Times New Roman"/>
          <w:lang w:val="en-US"/>
        </w:rPr>
        <w:t>ufrs</w:t>
      </w:r>
      <w:proofErr w:type="spellEnd"/>
      <w:r w:rsidRPr="00E02793">
        <w:rPr>
          <w:rFonts w:cs="Times New Roman"/>
        </w:rPr>
        <w:t>.</w:t>
      </w:r>
      <w:proofErr w:type="spellStart"/>
      <w:r w:rsidRPr="00E02793">
        <w:rPr>
          <w:rFonts w:cs="Times New Roman"/>
          <w:lang w:val="en-US"/>
        </w:rPr>
        <w:t>yakutia</w:t>
      </w:r>
      <w:proofErr w:type="spellEnd"/>
      <w:r w:rsidRPr="00E02793">
        <w:rPr>
          <w:rFonts w:cs="Times New Roman"/>
        </w:rPr>
        <w:t>.</w:t>
      </w:r>
      <w:proofErr w:type="spellStart"/>
      <w:r w:rsidRPr="00E02793">
        <w:rPr>
          <w:rFonts w:cs="Times New Roman"/>
          <w:lang w:val="en-US"/>
        </w:rPr>
        <w:t>ru</w:t>
      </w:r>
      <w:proofErr w:type="spellEnd"/>
    </w:p>
    <w:p w:rsidR="003A5DAB" w:rsidRPr="00E02793" w:rsidRDefault="003A5DAB" w:rsidP="003A5DAB">
      <w:pPr>
        <w:spacing w:after="0" w:line="240" w:lineRule="auto"/>
        <w:rPr>
          <w:rFonts w:eastAsia="Calibri" w:cs="Times New Roman"/>
          <w:u w:val="single"/>
          <w:lang w:eastAsia="ru-RU"/>
        </w:rPr>
      </w:pPr>
      <w:hyperlink r:id="rId5" w:history="1">
        <w:r w:rsidRPr="00E02793">
          <w:rPr>
            <w:rStyle w:val="a6"/>
            <w:rFonts w:cs="Times New Roman"/>
            <w:shd w:val="clear" w:color="auto" w:fill="FFFFFF"/>
            <w:lang w:val="en-US" w:eastAsia="ru-RU"/>
          </w:rPr>
          <w:t>www</w:t>
        </w:r>
        <w:r w:rsidRPr="00E02793">
          <w:rPr>
            <w:rStyle w:val="a6"/>
            <w:rFonts w:cs="Times New Roman"/>
            <w:shd w:val="clear" w:color="auto" w:fill="FFFFFF"/>
            <w:lang w:eastAsia="ru-RU"/>
          </w:rPr>
          <w:t>.</w:t>
        </w:r>
        <w:proofErr w:type="spellStart"/>
        <w:r w:rsidRPr="00E02793">
          <w:rPr>
            <w:rStyle w:val="a6"/>
            <w:rFonts w:cs="Times New Roman"/>
            <w:shd w:val="clear" w:color="auto" w:fill="FFFFFF"/>
            <w:lang w:val="en-US" w:eastAsia="ru-RU"/>
          </w:rPr>
          <w:t>rosreestr</w:t>
        </w:r>
        <w:proofErr w:type="spellEnd"/>
        <w:r w:rsidRPr="00E02793">
          <w:rPr>
            <w:rStyle w:val="a6"/>
            <w:rFonts w:cs="Times New Roman"/>
            <w:shd w:val="clear" w:color="auto" w:fill="FFFFFF"/>
            <w:lang w:eastAsia="ru-RU"/>
          </w:rPr>
          <w:t>.</w:t>
        </w:r>
        <w:proofErr w:type="spellStart"/>
        <w:r w:rsidRPr="00E02793">
          <w:rPr>
            <w:rStyle w:val="a6"/>
            <w:rFonts w:cs="Times New Roman"/>
            <w:shd w:val="clear" w:color="auto" w:fill="FFFFFF"/>
            <w:lang w:val="en-US" w:eastAsia="ru-RU"/>
          </w:rPr>
          <w:t>ru</w:t>
        </w:r>
        <w:proofErr w:type="spellEnd"/>
      </w:hyperlink>
    </w:p>
    <w:p w:rsidR="003A5DAB" w:rsidRPr="00E02793" w:rsidRDefault="003A5DAB" w:rsidP="003A5DAB">
      <w:pPr>
        <w:spacing w:after="0" w:line="240" w:lineRule="auto"/>
        <w:rPr>
          <w:rFonts w:cs="Times New Roman"/>
          <w:lang w:eastAsia="ru-RU"/>
        </w:rPr>
      </w:pPr>
    </w:p>
    <w:p w:rsidR="003A5DAB" w:rsidRPr="00F67523" w:rsidRDefault="003A5DAB" w:rsidP="003A5DAB">
      <w:pPr>
        <w:spacing w:after="0" w:line="240" w:lineRule="auto"/>
        <w:rPr>
          <w:rFonts w:ascii="Times New Roman" w:hAnsi="Times New Roman" w:cs="Times New Roman"/>
          <w:sz w:val="28"/>
          <w:szCs w:val="28"/>
        </w:rPr>
      </w:pPr>
      <w:r w:rsidRPr="00E02793">
        <w:rPr>
          <w:rFonts w:cs="Times New Roman"/>
        </w:rPr>
        <w:t xml:space="preserve">677018, </w:t>
      </w:r>
      <w:r w:rsidRPr="00E02793">
        <w:rPr>
          <w:rFonts w:cs="Times New Roman"/>
          <w:kern w:val="2"/>
        </w:rPr>
        <w:t>Республике Саха (Якутия),</w:t>
      </w:r>
      <w:r w:rsidRPr="00E02793">
        <w:rPr>
          <w:rFonts w:cs="Times New Roman"/>
        </w:rPr>
        <w:t xml:space="preserve"> Якутск, Ярославского, д. 37, </w:t>
      </w:r>
      <w:r w:rsidRPr="00E02793">
        <w:rPr>
          <w:rFonts w:cs="Times New Roman"/>
          <w:lang w:eastAsia="ru-RU"/>
        </w:rPr>
        <w:t>+7</w:t>
      </w:r>
      <w:r w:rsidRPr="00E02793">
        <w:rPr>
          <w:rFonts w:cs="Times New Roman"/>
          <w:lang w:val="en-US" w:eastAsia="ru-RU"/>
        </w:rPr>
        <w:t> </w:t>
      </w:r>
      <w:r w:rsidRPr="00E02793">
        <w:rPr>
          <w:rFonts w:cs="Times New Roman"/>
          <w:lang w:eastAsia="ru-RU"/>
        </w:rPr>
        <w:t>41122 40-58-23</w:t>
      </w:r>
    </w:p>
    <w:p w:rsidR="003A5DAB" w:rsidRPr="009935AF" w:rsidRDefault="003A5DAB" w:rsidP="003A5DAB">
      <w:pPr>
        <w:spacing w:after="0" w:line="240" w:lineRule="auto"/>
        <w:jc w:val="both"/>
        <w:rPr>
          <w:rFonts w:ascii="Times New Roman" w:hAnsi="Times New Roman" w:cs="Times New Roman"/>
          <w:sz w:val="28"/>
          <w:szCs w:val="28"/>
        </w:rPr>
      </w:pPr>
    </w:p>
    <w:sectPr w:rsidR="003A5DAB" w:rsidRPr="00993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AF"/>
    <w:rsid w:val="003A5DAB"/>
    <w:rsid w:val="003B1E1D"/>
    <w:rsid w:val="00623633"/>
    <w:rsid w:val="00993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D1C46-262A-4EB4-9BB3-11E49873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5AF"/>
    <w:rPr>
      <w:b/>
      <w:bCs/>
    </w:rPr>
  </w:style>
  <w:style w:type="character" w:styleId="a5">
    <w:name w:val="Emphasis"/>
    <w:basedOn w:val="a0"/>
    <w:uiPriority w:val="20"/>
    <w:qFormat/>
    <w:rsid w:val="009935AF"/>
    <w:rPr>
      <w:i/>
      <w:iCs/>
    </w:rPr>
  </w:style>
  <w:style w:type="character" w:customStyle="1" w:styleId="apple-converted-space">
    <w:name w:val="apple-converted-space"/>
    <w:basedOn w:val="a0"/>
    <w:rsid w:val="009935AF"/>
  </w:style>
  <w:style w:type="character" w:styleId="a6">
    <w:name w:val="Hyperlink"/>
    <w:uiPriority w:val="99"/>
    <w:rsid w:val="003A5DAB"/>
    <w:rPr>
      <w:color w:val="0000FF"/>
      <w:u w:val="single"/>
    </w:rPr>
  </w:style>
  <w:style w:type="paragraph" w:styleId="a7">
    <w:name w:val="List Paragraph"/>
    <w:basedOn w:val="a"/>
    <w:uiPriority w:val="34"/>
    <w:qFormat/>
    <w:rsid w:val="003A5DA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697</Words>
  <Characters>3979</Characters>
  <Application>Microsoft Office Word</Application>
  <DocSecurity>0</DocSecurity>
  <Lines>33</Lines>
  <Paragraphs>9</Paragraphs>
  <ScaleCrop>false</ScaleCrop>
  <Company>SPecialiST RePack</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Е. Корнилов</dc:creator>
  <cp:keywords/>
  <dc:description/>
  <cp:lastModifiedBy>Станислав Е. Корнилов</cp:lastModifiedBy>
  <cp:revision>2</cp:revision>
  <dcterms:created xsi:type="dcterms:W3CDTF">2017-06-23T05:33:00Z</dcterms:created>
  <dcterms:modified xsi:type="dcterms:W3CDTF">2017-06-23T06:25:00Z</dcterms:modified>
</cp:coreProperties>
</file>