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5B4076" w:rsidRPr="00370C9F" w:rsidTr="00710D71">
        <w:trPr>
          <w:trHeight w:val="1232"/>
          <w:jc w:val="center"/>
        </w:trPr>
        <w:tc>
          <w:tcPr>
            <w:tcW w:w="4047" w:type="dxa"/>
          </w:tcPr>
          <w:p w:rsidR="005B4076" w:rsidRDefault="005B4076" w:rsidP="00710D71">
            <w:pPr>
              <w:jc w:val="center"/>
              <w:rPr>
                <w:rFonts w:ascii="Times New Roman CYR" w:hAnsi="Times New Roman CYR"/>
                <w:b/>
                <w:bCs/>
              </w:rPr>
            </w:pPr>
            <w:r>
              <w:rPr>
                <w:rFonts w:ascii="Times New Roman CYR" w:hAnsi="Times New Roman CYR"/>
                <w:b/>
                <w:bCs/>
              </w:rPr>
              <w:t xml:space="preserve">РЕСПУБЛИКА  САХА (ЯКУТИЯ) </w:t>
            </w:r>
          </w:p>
          <w:p w:rsidR="005B4076" w:rsidRPr="0006124C" w:rsidRDefault="005B4076" w:rsidP="00710D71">
            <w:pPr>
              <w:jc w:val="center"/>
              <w:rPr>
                <w:b/>
                <w:bCs/>
              </w:rPr>
            </w:pPr>
            <w:r>
              <w:rPr>
                <w:b/>
                <w:bCs/>
              </w:rPr>
              <w:t xml:space="preserve">АДМИНИСТРАЦИЯ </w:t>
            </w:r>
            <w:r w:rsidRPr="0006124C">
              <w:rPr>
                <w:b/>
                <w:bCs/>
              </w:rPr>
              <w:t>МУ</w:t>
            </w:r>
            <w:r>
              <w:rPr>
                <w:b/>
                <w:bCs/>
              </w:rPr>
              <w:t>Н</w:t>
            </w:r>
            <w:r w:rsidRPr="0006124C">
              <w:rPr>
                <w:b/>
                <w:bCs/>
              </w:rPr>
              <w:t>ИЦИПАЛЬ</w:t>
            </w:r>
            <w:r>
              <w:rPr>
                <w:b/>
                <w:bCs/>
              </w:rPr>
              <w:t>Н</w:t>
            </w:r>
            <w:r w:rsidRPr="0006124C">
              <w:rPr>
                <w:b/>
                <w:bCs/>
              </w:rPr>
              <w:t>ОГО  ОБРАЗОВА</w:t>
            </w:r>
            <w:r>
              <w:rPr>
                <w:b/>
                <w:bCs/>
              </w:rPr>
              <w:t>Н</w:t>
            </w:r>
            <w:r w:rsidRPr="0006124C">
              <w:rPr>
                <w:b/>
                <w:bCs/>
              </w:rPr>
              <w:t>ИЯ</w:t>
            </w:r>
          </w:p>
          <w:p w:rsidR="005B4076" w:rsidRDefault="005B4076" w:rsidP="00710D71">
            <w:pPr>
              <w:jc w:val="center"/>
              <w:rPr>
                <w:b/>
                <w:bCs/>
              </w:rPr>
            </w:pPr>
            <w:r w:rsidRPr="0006124C">
              <w:rPr>
                <w:b/>
                <w:bCs/>
              </w:rPr>
              <w:t>«АЛДА</w:t>
            </w:r>
            <w:r>
              <w:rPr>
                <w:b/>
                <w:bCs/>
              </w:rPr>
              <w:t>Н</w:t>
            </w:r>
            <w:r w:rsidRPr="0006124C">
              <w:rPr>
                <w:b/>
                <w:bCs/>
              </w:rPr>
              <w:t>СКИЙ  РАЙО</w:t>
            </w:r>
            <w:r>
              <w:rPr>
                <w:b/>
                <w:bCs/>
              </w:rPr>
              <w:t>Н</w:t>
            </w:r>
            <w:r w:rsidRPr="0006124C">
              <w:rPr>
                <w:b/>
                <w:bCs/>
              </w:rPr>
              <w:t>»</w:t>
            </w:r>
          </w:p>
          <w:p w:rsidR="005B4076" w:rsidRDefault="005B4076" w:rsidP="00710D71">
            <w:pPr>
              <w:jc w:val="center"/>
              <w:rPr>
                <w:b/>
                <w:bCs/>
              </w:rPr>
            </w:pPr>
          </w:p>
          <w:p w:rsidR="005B4076" w:rsidRDefault="005B4076" w:rsidP="00710D71">
            <w:pPr>
              <w:jc w:val="center"/>
              <w:rPr>
                <w:b/>
                <w:bCs/>
              </w:rPr>
            </w:pPr>
            <w:r>
              <w:rPr>
                <w:b/>
                <w:bCs/>
              </w:rPr>
              <w:t>ПОСТАНОВЛЕНИЕ</w:t>
            </w:r>
          </w:p>
          <w:p w:rsidR="005B4076" w:rsidRPr="0006124C" w:rsidRDefault="005B4076" w:rsidP="00710D71">
            <w:pPr>
              <w:jc w:val="center"/>
              <w:rPr>
                <w:b/>
                <w:bCs/>
              </w:rPr>
            </w:pPr>
          </w:p>
          <w:p w:rsidR="005B4076" w:rsidRDefault="00215F2F" w:rsidP="00710D71">
            <w:r>
              <w:rPr>
                <w:b/>
                <w:bCs/>
              </w:rPr>
              <w:t xml:space="preserve">        № 1119п от 01.11.2019 г.</w:t>
            </w:r>
            <w:bookmarkStart w:id="0" w:name="_GoBack"/>
            <w:bookmarkEnd w:id="0"/>
          </w:p>
        </w:tc>
        <w:tc>
          <w:tcPr>
            <w:tcW w:w="1600" w:type="dxa"/>
          </w:tcPr>
          <w:p w:rsidR="005B4076" w:rsidRDefault="005B4076" w:rsidP="00710D71">
            <w:pPr>
              <w:jc w:val="center"/>
              <w:rPr>
                <w:sz w:val="22"/>
              </w:rPr>
            </w:pPr>
            <w:r>
              <w:rPr>
                <w:rFonts w:ascii="Arial" w:hAnsi="Arial" w:cs="Arial"/>
                <w:b/>
                <w:noProof/>
                <w:sz w:val="32"/>
                <w:szCs w:val="32"/>
              </w:rPr>
              <w:drawing>
                <wp:inline distT="0" distB="0" distL="0" distR="0">
                  <wp:extent cx="78486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1143000"/>
                          </a:xfrm>
                          <a:prstGeom prst="rect">
                            <a:avLst/>
                          </a:prstGeom>
                          <a:noFill/>
                          <a:ln>
                            <a:noFill/>
                          </a:ln>
                        </pic:spPr>
                      </pic:pic>
                    </a:graphicData>
                  </a:graphic>
                </wp:inline>
              </w:drawing>
            </w:r>
          </w:p>
        </w:tc>
        <w:tc>
          <w:tcPr>
            <w:tcW w:w="4262" w:type="dxa"/>
          </w:tcPr>
          <w:p w:rsidR="005B4076" w:rsidRPr="0006124C" w:rsidRDefault="005B4076" w:rsidP="00710D71">
            <w:pPr>
              <w:pStyle w:val="1"/>
              <w:tabs>
                <w:tab w:val="left" w:pos="2718"/>
              </w:tabs>
              <w:spacing w:line="240" w:lineRule="auto"/>
              <w:ind w:firstLine="425"/>
              <w:jc w:val="center"/>
              <w:rPr>
                <w:b/>
                <w:bCs/>
                <w:szCs w:val="24"/>
              </w:rPr>
            </w:pPr>
            <w:bookmarkStart w:id="1" w:name="_Toc528654819"/>
            <w:r w:rsidRPr="0006124C">
              <w:rPr>
                <w:b/>
                <w:bCs/>
                <w:szCs w:val="24"/>
              </w:rPr>
              <w:t xml:space="preserve">САХА </w:t>
            </w:r>
            <w:r>
              <w:rPr>
                <w:b/>
                <w:bCs/>
                <w:szCs w:val="24"/>
              </w:rPr>
              <w:t>Ө</w:t>
            </w:r>
            <w:proofErr w:type="gramStart"/>
            <w:r>
              <w:rPr>
                <w:b/>
                <w:bCs/>
                <w:szCs w:val="24"/>
              </w:rPr>
              <w:t>Р</w:t>
            </w:r>
            <w:proofErr w:type="gramEnd"/>
            <w:r>
              <w:rPr>
                <w:b/>
                <w:bCs/>
                <w:szCs w:val="24"/>
              </w:rPr>
              <w:t>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bookmarkEnd w:id="1"/>
          </w:p>
          <w:p w:rsidR="005B4076" w:rsidRDefault="005B4076" w:rsidP="00710D71">
            <w:pPr>
              <w:jc w:val="center"/>
              <w:rPr>
                <w:b/>
                <w:bCs/>
              </w:rPr>
            </w:pPr>
            <w:r>
              <w:rPr>
                <w:b/>
                <w:bCs/>
              </w:rPr>
              <w:t>«АЛДАН  ОРОЙУОНА»</w:t>
            </w:r>
          </w:p>
          <w:p w:rsidR="005B4076" w:rsidRDefault="005B4076" w:rsidP="00710D71">
            <w:pPr>
              <w:jc w:val="center"/>
              <w:rPr>
                <w:b/>
                <w:bCs/>
              </w:rPr>
            </w:pPr>
            <w:r>
              <w:rPr>
                <w:b/>
                <w:bCs/>
              </w:rPr>
              <w:t>МУНИЦИПАЛЬНАЙ</w:t>
            </w:r>
          </w:p>
          <w:p w:rsidR="005B4076" w:rsidRPr="00A56DC7" w:rsidRDefault="005B4076" w:rsidP="00710D71">
            <w:pPr>
              <w:jc w:val="center"/>
              <w:rPr>
                <w:b/>
                <w:bCs/>
              </w:rPr>
            </w:pPr>
            <w:r>
              <w:rPr>
                <w:b/>
                <w:bCs/>
              </w:rPr>
              <w:t>ТЭРИЛЛИИ</w:t>
            </w:r>
          </w:p>
          <w:p w:rsidR="005B4076" w:rsidRDefault="005B4076" w:rsidP="00710D71">
            <w:pPr>
              <w:ind w:firstLine="457"/>
              <w:jc w:val="center"/>
              <w:rPr>
                <w:b/>
                <w:bCs/>
              </w:rPr>
            </w:pPr>
            <w:proofErr w:type="spellStart"/>
            <w:r>
              <w:rPr>
                <w:b/>
                <w:bCs/>
              </w:rPr>
              <w:t>ДЬАһАЛТАТА</w:t>
            </w:r>
            <w:proofErr w:type="spellEnd"/>
          </w:p>
          <w:p w:rsidR="005B4076" w:rsidRDefault="005B4076" w:rsidP="00710D71">
            <w:pPr>
              <w:ind w:firstLine="457"/>
              <w:jc w:val="center"/>
              <w:rPr>
                <w:b/>
                <w:bCs/>
              </w:rPr>
            </w:pPr>
          </w:p>
          <w:p w:rsidR="005B4076" w:rsidRDefault="005B4076" w:rsidP="00710D71">
            <w:pPr>
              <w:ind w:firstLine="457"/>
              <w:jc w:val="center"/>
              <w:rPr>
                <w:b/>
                <w:bCs/>
              </w:rPr>
            </w:pPr>
          </w:p>
          <w:p w:rsidR="005B4076" w:rsidRPr="00370C9F" w:rsidRDefault="005B4076" w:rsidP="00710D71">
            <w:pPr>
              <w:ind w:firstLine="457"/>
              <w:jc w:val="center"/>
              <w:rPr>
                <w:b/>
                <w:bCs/>
              </w:rPr>
            </w:pPr>
            <w:r>
              <w:rPr>
                <w:b/>
                <w:bCs/>
              </w:rPr>
              <w:t>УУРААХ</w:t>
            </w:r>
          </w:p>
        </w:tc>
      </w:tr>
    </w:tbl>
    <w:p w:rsidR="005B4076" w:rsidRDefault="005B4076" w:rsidP="005B4076">
      <w:pPr>
        <w:tabs>
          <w:tab w:val="left" w:pos="1005"/>
        </w:tabs>
      </w:pPr>
    </w:p>
    <w:p w:rsidR="005B4076" w:rsidRDefault="005B4076" w:rsidP="005B4076">
      <w:pPr>
        <w:rPr>
          <w:b/>
          <w:sz w:val="28"/>
          <w:szCs w:val="28"/>
        </w:rPr>
      </w:pPr>
    </w:p>
    <w:p w:rsidR="005B4076" w:rsidRPr="004A55E9" w:rsidRDefault="005B4076" w:rsidP="005B4076">
      <w:pPr>
        <w:ind w:right="5526"/>
        <w:jc w:val="both"/>
        <w:rPr>
          <w:b/>
        </w:rPr>
      </w:pPr>
      <w:r>
        <w:rPr>
          <w:b/>
        </w:rPr>
        <w:t>О прогнозе социально-экономического развития муниципального образования «Алданский район» на 2020 год и плановый период 2021-2022 годы</w:t>
      </w:r>
    </w:p>
    <w:p w:rsidR="005B4076" w:rsidRPr="004D773D" w:rsidRDefault="005B4076" w:rsidP="005B4076">
      <w:pPr>
        <w:pStyle w:val="a3"/>
        <w:jc w:val="both"/>
        <w:rPr>
          <w:sz w:val="28"/>
          <w:szCs w:val="28"/>
        </w:rPr>
      </w:pPr>
    </w:p>
    <w:p w:rsidR="005B4076" w:rsidRPr="004D773D" w:rsidRDefault="005B4076" w:rsidP="005B4076">
      <w:pPr>
        <w:pStyle w:val="a3"/>
        <w:jc w:val="both"/>
        <w:rPr>
          <w:sz w:val="28"/>
          <w:szCs w:val="28"/>
        </w:rPr>
      </w:pPr>
      <w:r w:rsidRPr="004D773D">
        <w:rPr>
          <w:sz w:val="28"/>
          <w:szCs w:val="28"/>
        </w:rPr>
        <w:t xml:space="preserve">     </w:t>
      </w:r>
    </w:p>
    <w:p w:rsidR="005B4076" w:rsidRDefault="005B4076" w:rsidP="005B4076">
      <w:pPr>
        <w:pStyle w:val="a3"/>
        <w:ind w:left="360"/>
        <w:jc w:val="both"/>
        <w:rPr>
          <w:szCs w:val="24"/>
        </w:rPr>
      </w:pPr>
      <w:r>
        <w:rPr>
          <w:szCs w:val="24"/>
        </w:rPr>
        <w:t xml:space="preserve">    В </w:t>
      </w:r>
      <w:r w:rsidRPr="004A55E9">
        <w:rPr>
          <w:szCs w:val="24"/>
        </w:rPr>
        <w:t xml:space="preserve"> целях</w:t>
      </w:r>
      <w:r>
        <w:rPr>
          <w:szCs w:val="24"/>
        </w:rPr>
        <w:t xml:space="preserve"> </w:t>
      </w:r>
      <w:r w:rsidRPr="004A55E9">
        <w:rPr>
          <w:szCs w:val="24"/>
        </w:rPr>
        <w:t xml:space="preserve"> </w:t>
      </w:r>
      <w:r>
        <w:rPr>
          <w:szCs w:val="24"/>
        </w:rPr>
        <w:t xml:space="preserve">подготовки  проекта  бюджета  муниципального образования   «Алданский </w:t>
      </w:r>
    </w:p>
    <w:p w:rsidR="005B4076" w:rsidRPr="004A55E9" w:rsidRDefault="005B4076" w:rsidP="005B4076">
      <w:pPr>
        <w:pStyle w:val="a3"/>
        <w:jc w:val="both"/>
        <w:rPr>
          <w:szCs w:val="24"/>
        </w:rPr>
      </w:pPr>
      <w:r>
        <w:rPr>
          <w:szCs w:val="24"/>
        </w:rPr>
        <w:t xml:space="preserve">район» на 2020 год и плановый период 2021-2022 годы, в соответствии с постановлением главы МО «Алданский район» № 474 </w:t>
      </w:r>
      <w:proofErr w:type="gramStart"/>
      <w:r>
        <w:rPr>
          <w:szCs w:val="24"/>
        </w:rPr>
        <w:t>п</w:t>
      </w:r>
      <w:proofErr w:type="gramEnd"/>
      <w:r>
        <w:rPr>
          <w:szCs w:val="24"/>
        </w:rPr>
        <w:t xml:space="preserve"> от 21.09.2015 года «Об утверждении порядка разработки и корректировки прогноза социально-экономического развития муниципального образования «Алданский район» на среднесрочный и долгосрочный период», в соответствии с решением Алданского районного Совета депутатов № 22-5 от 29.12.2015 года </w:t>
      </w:r>
      <w:r w:rsidRPr="001F635F">
        <w:rPr>
          <w:szCs w:val="24"/>
        </w:rPr>
        <w:t xml:space="preserve">«Об утверждении Положения о бюджетном процессе в муниципальном </w:t>
      </w:r>
      <w:proofErr w:type="gramStart"/>
      <w:r w:rsidRPr="001F635F">
        <w:rPr>
          <w:szCs w:val="24"/>
        </w:rPr>
        <w:t>образовании</w:t>
      </w:r>
      <w:proofErr w:type="gramEnd"/>
      <w:r w:rsidRPr="001F635F">
        <w:rPr>
          <w:szCs w:val="24"/>
        </w:rPr>
        <w:t xml:space="preserve"> «Алданский район»</w:t>
      </w:r>
      <w:r>
        <w:rPr>
          <w:szCs w:val="24"/>
        </w:rPr>
        <w:t xml:space="preserve">, </w:t>
      </w:r>
      <w:r w:rsidRPr="004A55E9">
        <w:rPr>
          <w:szCs w:val="24"/>
        </w:rPr>
        <w:t>поста</w:t>
      </w:r>
      <w:r>
        <w:rPr>
          <w:szCs w:val="24"/>
        </w:rPr>
        <w:t>н</w:t>
      </w:r>
      <w:r w:rsidRPr="004A55E9">
        <w:rPr>
          <w:szCs w:val="24"/>
        </w:rPr>
        <w:t>овляю:</w:t>
      </w:r>
    </w:p>
    <w:p w:rsidR="005B4076" w:rsidRDefault="005B4076" w:rsidP="005B4076">
      <w:pPr>
        <w:pStyle w:val="a3"/>
        <w:numPr>
          <w:ilvl w:val="0"/>
          <w:numId w:val="1"/>
        </w:numPr>
        <w:jc w:val="both"/>
        <w:rPr>
          <w:szCs w:val="24"/>
        </w:rPr>
      </w:pPr>
      <w:r w:rsidRPr="001E01F6">
        <w:rPr>
          <w:szCs w:val="24"/>
        </w:rPr>
        <w:t>У</w:t>
      </w:r>
      <w:r>
        <w:rPr>
          <w:szCs w:val="24"/>
        </w:rPr>
        <w:t>тверд</w:t>
      </w:r>
      <w:r w:rsidRPr="001E01F6">
        <w:rPr>
          <w:szCs w:val="24"/>
        </w:rPr>
        <w:t>ить</w:t>
      </w:r>
      <w:r>
        <w:rPr>
          <w:szCs w:val="24"/>
        </w:rPr>
        <w:t xml:space="preserve">   п</w:t>
      </w:r>
      <w:r w:rsidRPr="00E1442F">
        <w:rPr>
          <w:szCs w:val="24"/>
        </w:rPr>
        <w:t xml:space="preserve">рогноз </w:t>
      </w:r>
      <w:r>
        <w:rPr>
          <w:szCs w:val="24"/>
        </w:rPr>
        <w:t xml:space="preserve">     </w:t>
      </w:r>
      <w:r w:rsidRPr="00E1442F">
        <w:rPr>
          <w:szCs w:val="24"/>
        </w:rPr>
        <w:t>социально-экономического</w:t>
      </w:r>
      <w:r>
        <w:rPr>
          <w:szCs w:val="24"/>
        </w:rPr>
        <w:t xml:space="preserve">     </w:t>
      </w:r>
      <w:r w:rsidRPr="00E1442F">
        <w:rPr>
          <w:szCs w:val="24"/>
        </w:rPr>
        <w:t xml:space="preserve">развития </w:t>
      </w:r>
      <w:r>
        <w:rPr>
          <w:szCs w:val="24"/>
        </w:rPr>
        <w:t xml:space="preserve">      </w:t>
      </w:r>
      <w:r w:rsidRPr="00E1442F">
        <w:rPr>
          <w:szCs w:val="24"/>
        </w:rPr>
        <w:t xml:space="preserve">муниципального </w:t>
      </w:r>
    </w:p>
    <w:p w:rsidR="005B4076" w:rsidRDefault="005B4076" w:rsidP="005B4076">
      <w:pPr>
        <w:pStyle w:val="a3"/>
        <w:jc w:val="both"/>
        <w:rPr>
          <w:szCs w:val="24"/>
        </w:rPr>
      </w:pPr>
      <w:r w:rsidRPr="00E1442F">
        <w:rPr>
          <w:szCs w:val="24"/>
        </w:rPr>
        <w:t>обра</w:t>
      </w:r>
      <w:r>
        <w:rPr>
          <w:szCs w:val="24"/>
        </w:rPr>
        <w:t>зования «Алданский район» на 2020 год и плановый период 2021-</w:t>
      </w:r>
      <w:r w:rsidRPr="00E1442F">
        <w:rPr>
          <w:szCs w:val="24"/>
        </w:rPr>
        <w:t>20</w:t>
      </w:r>
      <w:r>
        <w:rPr>
          <w:szCs w:val="24"/>
        </w:rPr>
        <w:t>22</w:t>
      </w:r>
      <w:r w:rsidRPr="00E1442F">
        <w:rPr>
          <w:szCs w:val="24"/>
        </w:rPr>
        <w:t xml:space="preserve"> год</w:t>
      </w:r>
      <w:r>
        <w:rPr>
          <w:szCs w:val="24"/>
        </w:rPr>
        <w:t xml:space="preserve">ы </w:t>
      </w:r>
      <w:r w:rsidRPr="001E01F6">
        <w:rPr>
          <w:szCs w:val="24"/>
        </w:rPr>
        <w:t>соглас</w:t>
      </w:r>
      <w:r>
        <w:rPr>
          <w:szCs w:val="24"/>
        </w:rPr>
        <w:t>н</w:t>
      </w:r>
      <w:r w:rsidRPr="001E01F6">
        <w:rPr>
          <w:szCs w:val="24"/>
        </w:rPr>
        <w:t>о</w:t>
      </w:r>
      <w:r>
        <w:rPr>
          <w:szCs w:val="24"/>
        </w:rPr>
        <w:t xml:space="preserve"> </w:t>
      </w:r>
      <w:r w:rsidRPr="001E01F6">
        <w:rPr>
          <w:szCs w:val="24"/>
        </w:rPr>
        <w:t>приложе</w:t>
      </w:r>
      <w:r>
        <w:rPr>
          <w:szCs w:val="24"/>
        </w:rPr>
        <w:t>н</w:t>
      </w:r>
      <w:r w:rsidRPr="001E01F6">
        <w:rPr>
          <w:szCs w:val="24"/>
        </w:rPr>
        <w:t>и</w:t>
      </w:r>
      <w:r>
        <w:rPr>
          <w:szCs w:val="24"/>
        </w:rPr>
        <w:t>ю</w:t>
      </w:r>
      <w:r w:rsidRPr="001E01F6">
        <w:rPr>
          <w:szCs w:val="24"/>
        </w:rPr>
        <w:t xml:space="preserve"> 1</w:t>
      </w:r>
      <w:r>
        <w:rPr>
          <w:szCs w:val="24"/>
        </w:rPr>
        <w:t xml:space="preserve"> к настоящему постановлению</w:t>
      </w:r>
      <w:r w:rsidRPr="001E01F6">
        <w:rPr>
          <w:szCs w:val="24"/>
        </w:rPr>
        <w:t>.</w:t>
      </w:r>
    </w:p>
    <w:p w:rsidR="005B4076" w:rsidRDefault="005B4076" w:rsidP="005B4076">
      <w:pPr>
        <w:pStyle w:val="a3"/>
        <w:numPr>
          <w:ilvl w:val="0"/>
          <w:numId w:val="1"/>
        </w:numPr>
        <w:jc w:val="both"/>
        <w:rPr>
          <w:szCs w:val="24"/>
        </w:rPr>
      </w:pPr>
      <w:r>
        <w:rPr>
          <w:szCs w:val="24"/>
        </w:rPr>
        <w:t xml:space="preserve">Финансовому     управлению    администрации      муниципального       образования </w:t>
      </w:r>
    </w:p>
    <w:p w:rsidR="005B4076" w:rsidRDefault="005B4076" w:rsidP="005B4076">
      <w:pPr>
        <w:pStyle w:val="a3"/>
        <w:jc w:val="both"/>
        <w:rPr>
          <w:szCs w:val="24"/>
        </w:rPr>
      </w:pPr>
      <w:r>
        <w:rPr>
          <w:szCs w:val="24"/>
        </w:rPr>
        <w:t>«Алданский район» (</w:t>
      </w:r>
      <w:proofErr w:type="spellStart"/>
      <w:r>
        <w:rPr>
          <w:szCs w:val="24"/>
        </w:rPr>
        <w:t>Плахотникова</w:t>
      </w:r>
      <w:proofErr w:type="spellEnd"/>
      <w:r>
        <w:rPr>
          <w:szCs w:val="24"/>
        </w:rPr>
        <w:t xml:space="preserve"> С.Н.) при формировании проекта местного бюджета муниципального образования «Алданский район» на 2020 год и плановый период 2021-2022 годы принять за основу утвержденные параметры прогноза  социально-экономического развития муниципального образования «Алданский район»</w:t>
      </w:r>
      <w:r w:rsidRPr="001E01F6">
        <w:rPr>
          <w:szCs w:val="24"/>
        </w:rPr>
        <w:t xml:space="preserve">. </w:t>
      </w:r>
    </w:p>
    <w:p w:rsidR="005B4076" w:rsidRDefault="005B4076" w:rsidP="005B4076">
      <w:pPr>
        <w:pStyle w:val="a3"/>
        <w:numPr>
          <w:ilvl w:val="0"/>
          <w:numId w:val="1"/>
        </w:numPr>
        <w:jc w:val="both"/>
        <w:rPr>
          <w:szCs w:val="24"/>
        </w:rPr>
      </w:pPr>
      <w:r>
        <w:rPr>
          <w:szCs w:val="24"/>
        </w:rPr>
        <w:t>Настоящее постановление вступает в силу с момента его подписания</w:t>
      </w:r>
      <w:r w:rsidRPr="001E01F6">
        <w:rPr>
          <w:szCs w:val="24"/>
        </w:rPr>
        <w:t>.</w:t>
      </w:r>
    </w:p>
    <w:p w:rsidR="005B4076" w:rsidRPr="00B43824" w:rsidRDefault="005B4076" w:rsidP="005B4076">
      <w:pPr>
        <w:pStyle w:val="a3"/>
        <w:numPr>
          <w:ilvl w:val="0"/>
          <w:numId w:val="1"/>
        </w:numPr>
        <w:jc w:val="both"/>
        <w:rPr>
          <w:szCs w:val="24"/>
        </w:rPr>
      </w:pPr>
      <w:r w:rsidRPr="00B43824">
        <w:rPr>
          <w:szCs w:val="24"/>
        </w:rPr>
        <w:t xml:space="preserve">Настоящее      постановление        обнародовать      в      порядке,     </w:t>
      </w:r>
      <w:r>
        <w:rPr>
          <w:szCs w:val="24"/>
        </w:rPr>
        <w:t xml:space="preserve"> </w:t>
      </w:r>
      <w:r w:rsidRPr="00B43824">
        <w:rPr>
          <w:szCs w:val="24"/>
        </w:rPr>
        <w:t xml:space="preserve">  установленном     </w:t>
      </w:r>
    </w:p>
    <w:p w:rsidR="005B4076" w:rsidRDefault="005B4076" w:rsidP="005B4076">
      <w:pPr>
        <w:pStyle w:val="a3"/>
        <w:jc w:val="both"/>
        <w:rPr>
          <w:szCs w:val="24"/>
        </w:rPr>
      </w:pPr>
      <w:r w:rsidRPr="00B43824">
        <w:rPr>
          <w:szCs w:val="24"/>
        </w:rPr>
        <w:t xml:space="preserve">Уставом </w:t>
      </w:r>
      <w:r>
        <w:rPr>
          <w:szCs w:val="24"/>
        </w:rPr>
        <w:t xml:space="preserve">  </w:t>
      </w:r>
      <w:r w:rsidRPr="00B43824">
        <w:rPr>
          <w:szCs w:val="24"/>
        </w:rPr>
        <w:t xml:space="preserve">МО </w:t>
      </w:r>
      <w:r>
        <w:rPr>
          <w:szCs w:val="24"/>
        </w:rPr>
        <w:t xml:space="preserve">  </w:t>
      </w:r>
      <w:r w:rsidRPr="00B43824">
        <w:rPr>
          <w:szCs w:val="24"/>
        </w:rPr>
        <w:t xml:space="preserve">«Алданский </w:t>
      </w:r>
      <w:r>
        <w:rPr>
          <w:szCs w:val="24"/>
        </w:rPr>
        <w:t xml:space="preserve">  </w:t>
      </w:r>
      <w:r w:rsidRPr="00B43824">
        <w:rPr>
          <w:szCs w:val="24"/>
        </w:rPr>
        <w:t xml:space="preserve">район»  </w:t>
      </w:r>
      <w:r>
        <w:rPr>
          <w:szCs w:val="24"/>
        </w:rPr>
        <w:t xml:space="preserve">  </w:t>
      </w:r>
      <w:r w:rsidRPr="00B43824">
        <w:rPr>
          <w:szCs w:val="24"/>
        </w:rPr>
        <w:t xml:space="preserve"> </w:t>
      </w:r>
      <w:r>
        <w:rPr>
          <w:szCs w:val="24"/>
        </w:rPr>
        <w:t xml:space="preserve"> </w:t>
      </w:r>
      <w:r w:rsidRPr="00B43824">
        <w:rPr>
          <w:szCs w:val="24"/>
        </w:rPr>
        <w:t xml:space="preserve"> и</w:t>
      </w:r>
      <w:r>
        <w:rPr>
          <w:szCs w:val="24"/>
        </w:rPr>
        <w:t xml:space="preserve">     </w:t>
      </w:r>
      <w:r w:rsidRPr="00B43824">
        <w:rPr>
          <w:szCs w:val="24"/>
        </w:rPr>
        <w:t xml:space="preserve"> раз</w:t>
      </w:r>
      <w:r>
        <w:rPr>
          <w:szCs w:val="24"/>
        </w:rPr>
        <w:t xml:space="preserve">местить     на        официальном        сайте   </w:t>
      </w:r>
    </w:p>
    <w:p w:rsidR="005B4076" w:rsidRPr="00B43824" w:rsidRDefault="005B4076" w:rsidP="005B4076">
      <w:pPr>
        <w:pStyle w:val="a3"/>
        <w:jc w:val="both"/>
        <w:rPr>
          <w:szCs w:val="24"/>
        </w:rPr>
      </w:pPr>
      <w:r>
        <w:rPr>
          <w:szCs w:val="24"/>
        </w:rPr>
        <w:t xml:space="preserve">муниципального образования </w:t>
      </w:r>
      <w:r w:rsidRPr="00B43824">
        <w:rPr>
          <w:szCs w:val="24"/>
        </w:rPr>
        <w:t>«Алданский район».</w:t>
      </w:r>
    </w:p>
    <w:p w:rsidR="005B4076" w:rsidRDefault="005B4076" w:rsidP="005B4076">
      <w:pPr>
        <w:numPr>
          <w:ilvl w:val="0"/>
          <w:numId w:val="1"/>
        </w:numPr>
        <w:jc w:val="both"/>
      </w:pPr>
      <w:proofErr w:type="gramStart"/>
      <w:r>
        <w:t>Контроль  за</w:t>
      </w:r>
      <w:proofErr w:type="gramEnd"/>
      <w:r>
        <w:t xml:space="preserve">  исполнением  настоящего постановления   возложить  на заместителя </w:t>
      </w:r>
    </w:p>
    <w:p w:rsidR="005B4076" w:rsidRPr="004A55E9" w:rsidRDefault="005B4076" w:rsidP="005B4076">
      <w:pPr>
        <w:jc w:val="both"/>
      </w:pPr>
      <w:r>
        <w:t>главы администрации МО «Алданский район» по экономике и финансам.</w:t>
      </w:r>
    </w:p>
    <w:p w:rsidR="005B4076" w:rsidRDefault="005B4076" w:rsidP="005B4076">
      <w:pPr>
        <w:ind w:left="851"/>
        <w:jc w:val="both"/>
      </w:pPr>
    </w:p>
    <w:p w:rsidR="005B4076" w:rsidRDefault="005B4076" w:rsidP="005B4076">
      <w:r w:rsidRPr="004A55E9">
        <w:t xml:space="preserve">      </w:t>
      </w:r>
    </w:p>
    <w:p w:rsidR="005B4076" w:rsidRDefault="005B4076" w:rsidP="005B4076"/>
    <w:p w:rsidR="005B4076" w:rsidRDefault="005B4076" w:rsidP="005B4076"/>
    <w:p w:rsidR="005B4076" w:rsidRPr="004A55E9" w:rsidRDefault="005B4076" w:rsidP="007544F4">
      <w:pPr>
        <w:rPr>
          <w:b/>
        </w:rPr>
      </w:pPr>
      <w:r>
        <w:t>Г</w:t>
      </w:r>
      <w:r w:rsidRPr="004A55E9">
        <w:t>лав</w:t>
      </w:r>
      <w:r>
        <w:t>а</w:t>
      </w:r>
      <w:r w:rsidRPr="004A55E9">
        <w:t xml:space="preserve"> райо</w:t>
      </w:r>
      <w:r>
        <w:t>н</w:t>
      </w:r>
      <w:r w:rsidRPr="004A55E9">
        <w:t xml:space="preserve">а                </w:t>
      </w:r>
      <w:r>
        <w:t xml:space="preserve">     </w:t>
      </w:r>
      <w:r w:rsidRPr="004A55E9">
        <w:t xml:space="preserve">    </w:t>
      </w:r>
      <w:r>
        <w:t xml:space="preserve">                </w:t>
      </w:r>
      <w:r w:rsidRPr="004A55E9">
        <w:t xml:space="preserve">    </w:t>
      </w:r>
      <w:r>
        <w:t xml:space="preserve">         </w:t>
      </w:r>
      <w:r w:rsidRPr="004A55E9">
        <w:t xml:space="preserve">                                          </w:t>
      </w:r>
      <w:r w:rsidR="007544F4">
        <w:t xml:space="preserve">    </w:t>
      </w:r>
      <w:r w:rsidRPr="004A55E9">
        <w:t xml:space="preserve">    </w:t>
      </w:r>
      <w:r>
        <w:t>С.Н. Поздняков</w:t>
      </w:r>
    </w:p>
    <w:p w:rsidR="005B4076" w:rsidRDefault="005B4076" w:rsidP="005B4076"/>
    <w:p w:rsidR="005B4076" w:rsidRDefault="005B4076" w:rsidP="005B4076"/>
    <w:p w:rsidR="005B4076" w:rsidRDefault="005B4076" w:rsidP="005B4076"/>
    <w:p w:rsidR="005B4076" w:rsidRPr="00054447" w:rsidRDefault="005B4076" w:rsidP="005B4076">
      <w:pPr>
        <w:rPr>
          <w:sz w:val="20"/>
          <w:szCs w:val="20"/>
        </w:rPr>
      </w:pPr>
      <w:proofErr w:type="spellStart"/>
      <w:r>
        <w:rPr>
          <w:sz w:val="20"/>
          <w:szCs w:val="20"/>
        </w:rPr>
        <w:t>Крючкова</w:t>
      </w:r>
      <w:proofErr w:type="spellEnd"/>
      <w:r>
        <w:rPr>
          <w:sz w:val="20"/>
          <w:szCs w:val="20"/>
        </w:rPr>
        <w:t xml:space="preserve"> Елена Григорьевна</w:t>
      </w:r>
    </w:p>
    <w:p w:rsidR="005B4076" w:rsidRDefault="005B4076" w:rsidP="005B4076">
      <w:pPr>
        <w:rPr>
          <w:sz w:val="20"/>
          <w:szCs w:val="20"/>
        </w:rPr>
      </w:pPr>
      <w:r>
        <w:rPr>
          <w:sz w:val="20"/>
          <w:szCs w:val="20"/>
        </w:rPr>
        <w:t xml:space="preserve">(41145) 65-555 </w:t>
      </w:r>
      <w:proofErr w:type="gramStart"/>
      <w:r>
        <w:rPr>
          <w:sz w:val="20"/>
          <w:szCs w:val="20"/>
        </w:rPr>
        <w:t xml:space="preserve">( </w:t>
      </w:r>
      <w:proofErr w:type="gramEnd"/>
      <w:r>
        <w:rPr>
          <w:sz w:val="20"/>
          <w:szCs w:val="20"/>
        </w:rPr>
        <w:t>доп.  112)</w:t>
      </w:r>
    </w:p>
    <w:p w:rsidR="00621BF0" w:rsidRDefault="00621BF0"/>
    <w:p w:rsidR="005B4076" w:rsidRDefault="005B4076"/>
    <w:p w:rsidR="005B4076" w:rsidRPr="005B4076" w:rsidRDefault="005B4076" w:rsidP="005B4076">
      <w:pPr>
        <w:rPr>
          <w:sz w:val="20"/>
          <w:szCs w:val="20"/>
        </w:rPr>
      </w:pPr>
    </w:p>
    <w:p w:rsidR="005B4076" w:rsidRPr="005B4076" w:rsidRDefault="005B4076" w:rsidP="005B4076">
      <w:pPr>
        <w:jc w:val="right"/>
      </w:pPr>
      <w:r w:rsidRPr="005B4076">
        <w:t xml:space="preserve">Утвержден </w:t>
      </w:r>
    </w:p>
    <w:p w:rsidR="005B4076" w:rsidRPr="005B4076" w:rsidRDefault="005B4076" w:rsidP="005B4076">
      <w:pPr>
        <w:jc w:val="right"/>
      </w:pPr>
      <w:r w:rsidRPr="005B4076">
        <w:t xml:space="preserve">Постановлением главы района </w:t>
      </w:r>
    </w:p>
    <w:p w:rsidR="005B4076" w:rsidRPr="005B4076" w:rsidRDefault="005B4076" w:rsidP="005B4076">
      <w:pPr>
        <w:jc w:val="right"/>
      </w:pPr>
      <w:r w:rsidRPr="005B4076">
        <w:rPr>
          <w:b/>
          <w:bCs/>
        </w:rPr>
        <w:t>№ _____</w:t>
      </w:r>
      <w:r w:rsidRPr="005B4076">
        <w:t xml:space="preserve"> </w:t>
      </w:r>
      <w:r w:rsidRPr="005B4076">
        <w:rPr>
          <w:bCs/>
        </w:rPr>
        <w:t>от</w:t>
      </w:r>
      <w:r w:rsidRPr="005B4076">
        <w:rPr>
          <w:b/>
          <w:bCs/>
        </w:rPr>
        <w:t xml:space="preserve"> ________________</w:t>
      </w:r>
    </w:p>
    <w:p w:rsidR="005B4076" w:rsidRPr="005B4076" w:rsidRDefault="005B4076" w:rsidP="005B4076">
      <w:pPr>
        <w:jc w:val="right"/>
      </w:pPr>
    </w:p>
    <w:p w:rsidR="005B4076" w:rsidRPr="005B4076" w:rsidRDefault="005B4076" w:rsidP="005B4076">
      <w:pPr>
        <w:jc w:val="right"/>
      </w:pPr>
      <w:r w:rsidRPr="005B4076">
        <w:t>Приложение № 1</w:t>
      </w: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r w:rsidRPr="005B4076">
        <w:rPr>
          <w:b/>
          <w:sz w:val="40"/>
          <w:szCs w:val="40"/>
        </w:rPr>
        <w:t xml:space="preserve">Прогноз социально-экономического развития </w:t>
      </w:r>
    </w:p>
    <w:p w:rsidR="005B4076" w:rsidRPr="005B4076" w:rsidRDefault="005B4076" w:rsidP="005B4076">
      <w:pPr>
        <w:jc w:val="center"/>
        <w:rPr>
          <w:b/>
          <w:sz w:val="40"/>
          <w:szCs w:val="40"/>
        </w:rPr>
      </w:pPr>
      <w:r w:rsidRPr="005B4076">
        <w:rPr>
          <w:b/>
          <w:sz w:val="40"/>
          <w:szCs w:val="40"/>
        </w:rPr>
        <w:t xml:space="preserve">муниципального образования «Алданский район» </w:t>
      </w:r>
    </w:p>
    <w:p w:rsidR="005B4076" w:rsidRPr="005B4076" w:rsidRDefault="005B4076" w:rsidP="005B4076">
      <w:pPr>
        <w:jc w:val="center"/>
        <w:rPr>
          <w:b/>
          <w:sz w:val="40"/>
          <w:szCs w:val="40"/>
        </w:rPr>
      </w:pPr>
      <w:r w:rsidRPr="005B4076">
        <w:rPr>
          <w:b/>
          <w:sz w:val="40"/>
          <w:szCs w:val="40"/>
        </w:rPr>
        <w:t>на 2020 год и плановый период 2021 -2022 годы</w:t>
      </w: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Pr="005B4076" w:rsidRDefault="005B4076" w:rsidP="005B4076">
      <w:pPr>
        <w:jc w:val="center"/>
        <w:rPr>
          <w:b/>
          <w:sz w:val="28"/>
          <w:szCs w:val="28"/>
        </w:rPr>
      </w:pPr>
      <w:r w:rsidRPr="005B4076">
        <w:rPr>
          <w:b/>
          <w:sz w:val="28"/>
          <w:szCs w:val="28"/>
        </w:rPr>
        <w:t>Содержание</w:t>
      </w:r>
    </w:p>
    <w:p w:rsidR="005B4076" w:rsidRPr="005B4076" w:rsidRDefault="005B4076" w:rsidP="005B4076">
      <w:pPr>
        <w:tabs>
          <w:tab w:val="right" w:leader="dot" w:pos="9344"/>
        </w:tabs>
        <w:spacing w:line="360" w:lineRule="auto"/>
        <w:rPr>
          <w:b/>
          <w:noProof/>
          <w:color w:val="000000" w:themeColor="text1"/>
        </w:rPr>
      </w:pPr>
      <w:r w:rsidRPr="005B4076">
        <w:rPr>
          <w:color w:val="000000" w:themeColor="text1"/>
        </w:rPr>
        <w:fldChar w:fldCharType="begin"/>
      </w:r>
      <w:r w:rsidRPr="005B4076">
        <w:rPr>
          <w:color w:val="000000" w:themeColor="text1"/>
        </w:rPr>
        <w:instrText xml:space="preserve"> TOC \o "1-3" \h \z \u </w:instrText>
      </w:r>
      <w:r w:rsidRPr="005B4076">
        <w:rPr>
          <w:color w:val="000000" w:themeColor="text1"/>
        </w:rPr>
        <w:fldChar w:fldCharType="separate"/>
      </w:r>
      <w:hyperlink w:anchor="_Toc528654819" w:history="1"/>
    </w:p>
    <w:p w:rsidR="005B4076" w:rsidRPr="005B4076" w:rsidRDefault="009B38D8" w:rsidP="005B4076">
      <w:pPr>
        <w:tabs>
          <w:tab w:val="right" w:leader="dot" w:pos="9344"/>
        </w:tabs>
        <w:spacing w:line="360" w:lineRule="auto"/>
        <w:rPr>
          <w:b/>
          <w:noProof/>
          <w:color w:val="000000" w:themeColor="text1"/>
        </w:rPr>
      </w:pPr>
      <w:hyperlink w:anchor="_Toc528654820" w:history="1">
        <w:r w:rsidR="005B4076" w:rsidRPr="005B4076">
          <w:rPr>
            <w:b/>
            <w:noProof/>
            <w:color w:val="000000" w:themeColor="text1"/>
            <w:u w:val="single"/>
          </w:rPr>
          <w:t>Введение</w:t>
        </w:r>
        <w:r w:rsidR="005B4076" w:rsidRPr="005B4076">
          <w:rPr>
            <w:b/>
            <w:noProof/>
            <w:webHidden/>
            <w:color w:val="000000" w:themeColor="text1"/>
          </w:rPr>
          <w:tab/>
        </w:r>
        <w:r w:rsidR="00690F43">
          <w:rPr>
            <w:b/>
            <w:noProof/>
            <w:webHidden/>
            <w:color w:val="000000" w:themeColor="text1"/>
          </w:rPr>
          <w:t>3</w:t>
        </w:r>
      </w:hyperlink>
    </w:p>
    <w:p w:rsidR="005B4076" w:rsidRPr="005B4076" w:rsidRDefault="009B38D8" w:rsidP="005B4076">
      <w:pPr>
        <w:tabs>
          <w:tab w:val="right" w:leader="dot" w:pos="9344"/>
        </w:tabs>
        <w:spacing w:line="360" w:lineRule="auto"/>
        <w:rPr>
          <w:b/>
          <w:noProof/>
          <w:color w:val="000000" w:themeColor="text1"/>
        </w:rPr>
      </w:pPr>
      <w:hyperlink w:anchor="_Toc528654821" w:history="1">
        <w:r w:rsidR="005B4076" w:rsidRPr="005B4076">
          <w:rPr>
            <w:b/>
            <w:noProof/>
            <w:color w:val="000000" w:themeColor="text1"/>
            <w:u w:val="single"/>
            <w:lang w:bidi="ru-RU"/>
          </w:rPr>
          <w:t>Основные тенденции социально-экономического развития в январе-августе 2019 года</w:t>
        </w:r>
        <w:r w:rsidR="005B4076" w:rsidRPr="005B4076">
          <w:rPr>
            <w:b/>
            <w:noProof/>
            <w:webHidden/>
            <w:color w:val="000000" w:themeColor="text1"/>
          </w:rPr>
          <w:tab/>
          <w:t>3</w:t>
        </w:r>
      </w:hyperlink>
    </w:p>
    <w:p w:rsidR="005B4076" w:rsidRPr="005B4076" w:rsidRDefault="009B38D8" w:rsidP="005B4076">
      <w:pPr>
        <w:tabs>
          <w:tab w:val="right" w:leader="dot" w:pos="9344"/>
        </w:tabs>
        <w:spacing w:line="360" w:lineRule="auto"/>
        <w:rPr>
          <w:b/>
          <w:noProof/>
          <w:color w:val="000000" w:themeColor="text1"/>
        </w:rPr>
      </w:pPr>
      <w:hyperlink w:anchor="_Toc528654822" w:history="1">
        <w:r w:rsidR="005B4076" w:rsidRPr="005B4076">
          <w:rPr>
            <w:b/>
            <w:noProof/>
            <w:color w:val="000000" w:themeColor="text1"/>
            <w:u w:val="single"/>
            <w:lang w:bidi="ru-RU"/>
          </w:rPr>
          <w:t>Варианты прогноза социально-экономического развития Алданского района</w:t>
        </w:r>
        <w:r w:rsidR="005B4076" w:rsidRPr="005B4076">
          <w:rPr>
            <w:b/>
            <w:noProof/>
            <w:webHidden/>
            <w:color w:val="000000" w:themeColor="text1"/>
          </w:rPr>
          <w:tab/>
          <w:t>4</w:t>
        </w:r>
      </w:hyperlink>
    </w:p>
    <w:p w:rsidR="005B4076" w:rsidRDefault="009B38D8" w:rsidP="005B4076">
      <w:pPr>
        <w:tabs>
          <w:tab w:val="right" w:leader="dot" w:pos="9344"/>
        </w:tabs>
        <w:spacing w:line="360" w:lineRule="auto"/>
        <w:rPr>
          <w:b/>
          <w:noProof/>
          <w:color w:val="000000" w:themeColor="text1"/>
        </w:rPr>
      </w:pPr>
      <w:hyperlink w:anchor="_Toc528654823" w:history="1">
        <w:r w:rsidR="005B4076" w:rsidRPr="005B4076">
          <w:rPr>
            <w:b/>
            <w:noProof/>
            <w:color w:val="000000" w:themeColor="text1"/>
            <w:u w:val="single"/>
          </w:rPr>
          <w:t>Основные параметры прогноза социально-экономического развития муниципального образования «Алданский район» на 2020 год и плановый период 2021-2022 годов</w:t>
        </w:r>
        <w:r w:rsidR="005B4076" w:rsidRPr="005B4076">
          <w:rPr>
            <w:b/>
            <w:noProof/>
            <w:webHidden/>
            <w:color w:val="000000" w:themeColor="text1"/>
          </w:rPr>
          <w:tab/>
        </w:r>
        <w:r w:rsidR="00690F43">
          <w:rPr>
            <w:b/>
            <w:noProof/>
            <w:webHidden/>
            <w:color w:val="000000" w:themeColor="text1"/>
          </w:rPr>
          <w:t>6</w:t>
        </w:r>
      </w:hyperlink>
    </w:p>
    <w:p w:rsidR="00690F43" w:rsidRPr="005B4076" w:rsidRDefault="00690F43" w:rsidP="005B4076">
      <w:pPr>
        <w:tabs>
          <w:tab w:val="right" w:leader="dot" w:pos="9344"/>
        </w:tabs>
        <w:spacing w:line="360" w:lineRule="auto"/>
        <w:rPr>
          <w:b/>
          <w:noProof/>
          <w:color w:val="000000" w:themeColor="text1"/>
        </w:rPr>
      </w:pPr>
    </w:p>
    <w:p w:rsidR="005B4076" w:rsidRPr="005B4076" w:rsidRDefault="005B4076" w:rsidP="005B4076">
      <w:pPr>
        <w:spacing w:line="360" w:lineRule="auto"/>
      </w:pPr>
      <w:r w:rsidRPr="005B4076">
        <w:rPr>
          <w:b/>
          <w:bCs/>
          <w:color w:val="000000" w:themeColor="text1"/>
        </w:rPr>
        <w:fldChar w:fldCharType="end"/>
      </w: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Pr="005B4076" w:rsidRDefault="005B4076" w:rsidP="005B4076">
      <w:pPr>
        <w:keepNext/>
        <w:overflowPunct w:val="0"/>
        <w:autoSpaceDE w:val="0"/>
        <w:autoSpaceDN w:val="0"/>
        <w:adjustRightInd w:val="0"/>
        <w:spacing w:line="360" w:lineRule="auto"/>
        <w:jc w:val="center"/>
        <w:textAlignment w:val="baseline"/>
        <w:outlineLvl w:val="0"/>
        <w:rPr>
          <w:b/>
          <w:szCs w:val="20"/>
        </w:rPr>
      </w:pPr>
      <w:bookmarkStart w:id="2" w:name="_Toc528654820"/>
      <w:r w:rsidRPr="005B4076">
        <w:rPr>
          <w:b/>
          <w:szCs w:val="20"/>
        </w:rPr>
        <w:lastRenderedPageBreak/>
        <w:t>Введение</w:t>
      </w:r>
      <w:bookmarkEnd w:id="2"/>
    </w:p>
    <w:p w:rsidR="005B4076" w:rsidRPr="005B4076" w:rsidRDefault="005B4076" w:rsidP="005B4076">
      <w:pPr>
        <w:jc w:val="both"/>
      </w:pPr>
      <w:r w:rsidRPr="005B4076">
        <w:t xml:space="preserve">         Прогноз социально-экономического развития муниципального образования «Алданский район»  разработан в соответствии с Бюджетным Кодексом РФ,  постановлением главы муниципального образования  «Алданский район» № 474 </w:t>
      </w:r>
      <w:proofErr w:type="gramStart"/>
      <w:r w:rsidRPr="005B4076">
        <w:t>п</w:t>
      </w:r>
      <w:proofErr w:type="gramEnd"/>
      <w:r w:rsidRPr="005B4076">
        <w:t xml:space="preserve"> от 21.09.2015 года «Об утверждении порядка разработки и корректировки прогноза социально-экономического развития муниципального образования «Алданский район» на среднесрочный и долгосрочный период», решением Алданского районного Совета депутатов № 22-5 от 29.12.2015 года «Об утверждении Положения о бюджетном процессе в муниципальном </w:t>
      </w:r>
      <w:proofErr w:type="gramStart"/>
      <w:r w:rsidRPr="005B4076">
        <w:t>образовании</w:t>
      </w:r>
      <w:proofErr w:type="gramEnd"/>
      <w:r w:rsidRPr="005B4076">
        <w:t xml:space="preserve"> «Алданский район».</w:t>
      </w:r>
    </w:p>
    <w:p w:rsidR="005B4076" w:rsidRPr="005B4076" w:rsidRDefault="005B4076" w:rsidP="005B4076">
      <w:pPr>
        <w:jc w:val="both"/>
      </w:pPr>
      <w:r w:rsidRPr="005B4076">
        <w:t xml:space="preserve">        Оценка социально-экономического развития района на 2019 год и прогнозные показатели на 2020-2022 годы разработаны на основе анализа складывающейся социально-экономической ситуации в секторах экономики, прогнозных оценок крупных организаций, предполагаемых сценариев реализации инвестиционных проектов и соглашений на территории района.</w:t>
      </w:r>
    </w:p>
    <w:p w:rsidR="005B4076" w:rsidRPr="005B4076" w:rsidRDefault="005B4076" w:rsidP="005B4076">
      <w:pPr>
        <w:jc w:val="both"/>
      </w:pPr>
      <w:r w:rsidRPr="005B4076">
        <w:t xml:space="preserve">         При формировании прогноза учитывались стратегические цели, задачи, ориентиры и приоритеты социально-экономического развития, обозначенные в документах стратегического планирования Российской Федерации, Республики Саха (Якутия). </w:t>
      </w:r>
    </w:p>
    <w:p w:rsidR="005B4076" w:rsidRPr="005B4076" w:rsidRDefault="005B4076" w:rsidP="005B4076">
      <w:pPr>
        <w:jc w:val="both"/>
      </w:pPr>
      <w:r w:rsidRPr="005B4076">
        <w:t xml:space="preserve">         Основные показатели прогноза базируются на положениях:</w:t>
      </w:r>
    </w:p>
    <w:p w:rsidR="005B4076" w:rsidRPr="005B4076" w:rsidRDefault="005B4076" w:rsidP="005B4076">
      <w:pPr>
        <w:jc w:val="both"/>
      </w:pPr>
      <w:r w:rsidRPr="005B4076">
        <w:t xml:space="preserve">- </w:t>
      </w:r>
      <w:r w:rsidRPr="005B4076">
        <w:rPr>
          <w:color w:val="000000"/>
        </w:rPr>
        <w:t xml:space="preserve"> </w:t>
      </w:r>
      <w:hyperlink r:id="rId10" w:history="1">
        <w:r w:rsidRPr="005B4076">
          <w:rPr>
            <w:color w:val="000000"/>
          </w:rPr>
          <w:t xml:space="preserve">Закона Республики Саха (Якутия)  "О Стратегии социально-экономического развития Республики Саха (Якутия) до 2032 года с целевым видением до 2050 года" №2077-З№45-VI от 19 декабря 2018 г. </w:t>
        </w:r>
      </w:hyperlink>
      <w:r w:rsidRPr="005B4076">
        <w:t>;</w:t>
      </w:r>
    </w:p>
    <w:p w:rsidR="005B4076" w:rsidRPr="005B4076" w:rsidRDefault="00714C35" w:rsidP="005B4076">
      <w:pPr>
        <w:jc w:val="both"/>
      </w:pPr>
      <w:r>
        <w:t>-  Д</w:t>
      </w:r>
      <w:r w:rsidR="005B4076" w:rsidRPr="005B4076">
        <w:t>олгосрочного прогноза социально-экономического развития Республики Сах</w:t>
      </w:r>
      <w:proofErr w:type="gramStart"/>
      <w:r w:rsidR="005B4076" w:rsidRPr="005B4076">
        <w:t>а(</w:t>
      </w:r>
      <w:proofErr w:type="gramEnd"/>
      <w:r w:rsidR="005B4076" w:rsidRPr="005B4076">
        <w:t>Якутия) на период до 2035 года, утвержденного постановлением Правительства Республики Саха(Якутия) от 23 ноября 2016 г. No422</w:t>
      </w:r>
    </w:p>
    <w:p w:rsidR="005B4076" w:rsidRPr="005B4076" w:rsidRDefault="005B4076" w:rsidP="005B4076">
      <w:pPr>
        <w:jc w:val="both"/>
      </w:pPr>
      <w:r w:rsidRPr="005B4076">
        <w:t xml:space="preserve">- </w:t>
      </w:r>
      <w:r w:rsidR="00714C35">
        <w:t xml:space="preserve"> </w:t>
      </w:r>
      <w:r w:rsidRPr="005B4076">
        <w:t>Прогноза социально-экономического развития Республики Саха (Якутия) на 2020-2024 годы, утвержденного постановлением Правительства Республики Саха (Якутия)                      04 октября 2019 г. № 293.</w:t>
      </w:r>
    </w:p>
    <w:p w:rsidR="005B4076" w:rsidRPr="005B4076" w:rsidRDefault="00714C35" w:rsidP="005B4076">
      <w:pPr>
        <w:jc w:val="both"/>
      </w:pPr>
      <w:r>
        <w:t xml:space="preserve">- </w:t>
      </w:r>
      <w:r w:rsidR="005B4076" w:rsidRPr="005B4076">
        <w:t>Долгосрочного прогноза социально-экономического развития муниципального образования «Алданский район» на 2017-2030 годы, утвержденного постановлением главы МО «Алданский район» № 98п от 27.01.2017 г.;</w:t>
      </w:r>
    </w:p>
    <w:p w:rsidR="005B4076" w:rsidRPr="005B4076" w:rsidRDefault="005B4076" w:rsidP="005B4076">
      <w:pPr>
        <w:jc w:val="both"/>
      </w:pPr>
      <w:r w:rsidRPr="005B4076">
        <w:t>-  Указа Президента РФ от 07 мая 2018 года № 204 «О национальных целях и стратегических задачах развития Российской Федерации на период до 2024 года»;</w:t>
      </w:r>
    </w:p>
    <w:p w:rsidR="005B4076" w:rsidRPr="005B4076" w:rsidRDefault="005B4076" w:rsidP="005B4076">
      <w:pPr>
        <w:jc w:val="both"/>
      </w:pPr>
      <w:r w:rsidRPr="005B4076">
        <w:t xml:space="preserve">-     Муниципальных программ СЭР муниципальных образований Алданского района. </w:t>
      </w:r>
    </w:p>
    <w:p w:rsidR="005B4076" w:rsidRPr="005B4076" w:rsidRDefault="005B4076" w:rsidP="005B4076">
      <w:pPr>
        <w:jc w:val="both"/>
      </w:pPr>
      <w:r w:rsidRPr="005B4076">
        <w:t xml:space="preserve">         В расчетах учитывались результаты социально-экономического развития муниципального образования «Алданский район» за 2018 год, оценочные показатели на 2019 год и видение перспективного развития финансово-хозяйственной деятельности крупных и средних предприятий МО «Алданский район» на 2020 - 2022 годы.</w:t>
      </w:r>
    </w:p>
    <w:p w:rsidR="002713CE" w:rsidRDefault="002713CE" w:rsidP="005B4076">
      <w:pPr>
        <w:keepNext/>
        <w:overflowPunct w:val="0"/>
        <w:autoSpaceDE w:val="0"/>
        <w:autoSpaceDN w:val="0"/>
        <w:adjustRightInd w:val="0"/>
        <w:jc w:val="center"/>
        <w:textAlignment w:val="baseline"/>
        <w:outlineLvl w:val="0"/>
        <w:rPr>
          <w:b/>
          <w:szCs w:val="20"/>
          <w:lang w:bidi="ru-RU"/>
        </w:rPr>
      </w:pPr>
      <w:bookmarkStart w:id="3" w:name="bookmark6"/>
      <w:bookmarkStart w:id="4" w:name="bookmark7"/>
      <w:bookmarkStart w:id="5" w:name="_Toc528654821"/>
    </w:p>
    <w:p w:rsidR="005B4076" w:rsidRPr="005B4076" w:rsidRDefault="005B4076" w:rsidP="005B4076">
      <w:pPr>
        <w:keepNext/>
        <w:overflowPunct w:val="0"/>
        <w:autoSpaceDE w:val="0"/>
        <w:autoSpaceDN w:val="0"/>
        <w:adjustRightInd w:val="0"/>
        <w:jc w:val="center"/>
        <w:textAlignment w:val="baseline"/>
        <w:outlineLvl w:val="0"/>
        <w:rPr>
          <w:b/>
          <w:szCs w:val="20"/>
          <w:lang w:bidi="ru-RU"/>
        </w:rPr>
      </w:pPr>
      <w:r w:rsidRPr="005B4076">
        <w:rPr>
          <w:b/>
          <w:szCs w:val="20"/>
          <w:lang w:bidi="ru-RU"/>
        </w:rPr>
        <w:t>Основные тенденции социально-экономического развития</w:t>
      </w:r>
      <w:r w:rsidRPr="005B4076">
        <w:rPr>
          <w:b/>
          <w:szCs w:val="20"/>
          <w:lang w:bidi="ru-RU"/>
        </w:rPr>
        <w:br/>
        <w:t>в январе-августе 2019 года</w:t>
      </w:r>
      <w:bookmarkEnd w:id="3"/>
      <w:bookmarkEnd w:id="4"/>
      <w:bookmarkEnd w:id="5"/>
    </w:p>
    <w:p w:rsidR="005B4076" w:rsidRPr="005B4076" w:rsidRDefault="005B4076" w:rsidP="005B4076">
      <w:pPr>
        <w:rPr>
          <w:lang w:bidi="ru-RU"/>
        </w:rPr>
      </w:pPr>
    </w:p>
    <w:p w:rsidR="005B4076" w:rsidRPr="005B4076" w:rsidRDefault="005B4076" w:rsidP="005B4076">
      <w:pPr>
        <w:widowControl w:val="0"/>
        <w:ind w:firstLine="740"/>
        <w:jc w:val="both"/>
      </w:pPr>
      <w:r w:rsidRPr="005B4076">
        <w:rPr>
          <w:bCs/>
          <w:color w:val="000000"/>
          <w:shd w:val="clear" w:color="auto" w:fill="FFFFFF"/>
          <w:lang w:bidi="ru-RU"/>
        </w:rPr>
        <w:t xml:space="preserve">Объем отгруженных товаров собственного производства, выполненных работ и услуг собственными силами  предприятиями и организациями Алданского района  в действующих ценах без НДС и акцизов, </w:t>
      </w:r>
      <w:r w:rsidRPr="005B4076">
        <w:rPr>
          <w:color w:val="000000"/>
          <w:lang w:bidi="ru-RU"/>
        </w:rPr>
        <w:t xml:space="preserve"> за январь – август текущего года  увеличился на 48 % к уровню соответствующего периода 2018 года и составил 46296,7 млн. руб.</w:t>
      </w:r>
    </w:p>
    <w:p w:rsidR="005B4076" w:rsidRDefault="005B4076" w:rsidP="005B4076">
      <w:pPr>
        <w:jc w:val="both"/>
      </w:pPr>
      <w:r>
        <w:rPr>
          <w:color w:val="000000"/>
          <w:lang w:bidi="ru-RU"/>
        </w:rPr>
        <w:t xml:space="preserve">             </w:t>
      </w:r>
      <w:r w:rsidRPr="005B4076">
        <w:rPr>
          <w:color w:val="000000"/>
          <w:lang w:bidi="ru-RU"/>
        </w:rPr>
        <w:t xml:space="preserve">Более половины объема отгруженных товаров собственного производства, выполненных работ и услуг собственными силами приходится на предприятия, осуществляющие добычу полезных ископаемых -63%. </w:t>
      </w:r>
      <w:r>
        <w:rPr>
          <w:color w:val="000000"/>
          <w:lang w:bidi="ru-RU"/>
        </w:rPr>
        <w:t xml:space="preserve">  </w:t>
      </w:r>
      <w:r w:rsidRPr="005B4076">
        <w:rPr>
          <w:color w:val="000000"/>
          <w:lang w:bidi="ru-RU"/>
        </w:rPr>
        <w:t xml:space="preserve">Доля </w:t>
      </w:r>
      <w:r>
        <w:rPr>
          <w:color w:val="000000"/>
          <w:lang w:bidi="ru-RU"/>
        </w:rPr>
        <w:t xml:space="preserve">  </w:t>
      </w:r>
      <w:r w:rsidRPr="005B4076">
        <w:rPr>
          <w:color w:val="000000"/>
          <w:lang w:bidi="ru-RU"/>
        </w:rPr>
        <w:t>предприятий</w:t>
      </w:r>
      <w:r>
        <w:rPr>
          <w:color w:val="000000"/>
          <w:lang w:bidi="ru-RU"/>
        </w:rPr>
        <w:t xml:space="preserve">  </w:t>
      </w:r>
      <w:r w:rsidRPr="005B4076">
        <w:rPr>
          <w:color w:val="000000"/>
          <w:lang w:bidi="ru-RU"/>
        </w:rPr>
        <w:t xml:space="preserve"> транспорта и</w:t>
      </w:r>
    </w:p>
    <w:p w:rsidR="005B4076" w:rsidRPr="005B4076" w:rsidRDefault="005B4076" w:rsidP="002713CE">
      <w:pPr>
        <w:widowControl w:val="0"/>
        <w:tabs>
          <w:tab w:val="left" w:pos="5198"/>
          <w:tab w:val="left" w:pos="8702"/>
        </w:tabs>
        <w:jc w:val="both"/>
        <w:rPr>
          <w:color w:val="000000"/>
          <w:lang w:bidi="ru-RU"/>
        </w:rPr>
      </w:pPr>
      <w:r w:rsidRPr="005B4076">
        <w:rPr>
          <w:color w:val="000000"/>
          <w:lang w:bidi="ru-RU"/>
        </w:rPr>
        <w:t xml:space="preserve">связи – 7,5%, организаций, осуществляющих обеспечение электрической энергией, газом и паром- 3,4%, 1,85% приходится на услуги здравоохранения, образования, государственные и социальные услуги. </w:t>
      </w:r>
    </w:p>
    <w:p w:rsidR="005B4076" w:rsidRPr="005B4076" w:rsidRDefault="005B4076" w:rsidP="005B4076">
      <w:pPr>
        <w:widowControl w:val="0"/>
        <w:tabs>
          <w:tab w:val="left" w:pos="5198"/>
          <w:tab w:val="left" w:pos="8702"/>
        </w:tabs>
        <w:ind w:firstLine="740"/>
        <w:jc w:val="both"/>
        <w:rPr>
          <w:color w:val="000000"/>
          <w:lang w:bidi="ru-RU"/>
        </w:rPr>
      </w:pPr>
      <w:r w:rsidRPr="005B4076">
        <w:rPr>
          <w:color w:val="000000"/>
          <w:lang w:bidi="ru-RU"/>
        </w:rPr>
        <w:lastRenderedPageBreak/>
        <w:t>Следует отметить, что значительно выросла доля выполненных работ по строительству и составила  21,8 % от общего объема отгруженных товаров (работ, услуг), тогда как за 8 месяцев 2018 года данный   показатель  составлял 14 %.</w:t>
      </w:r>
    </w:p>
    <w:p w:rsidR="005B4076" w:rsidRPr="005B4076" w:rsidRDefault="005B4076" w:rsidP="005B4076">
      <w:pPr>
        <w:widowControl w:val="0"/>
        <w:tabs>
          <w:tab w:val="left" w:pos="5198"/>
          <w:tab w:val="left" w:pos="8702"/>
        </w:tabs>
        <w:ind w:firstLine="740"/>
        <w:jc w:val="both"/>
        <w:rPr>
          <w:color w:val="000000"/>
          <w:lang w:bidi="ru-RU"/>
        </w:rPr>
      </w:pPr>
      <w:r w:rsidRPr="005B4076">
        <w:rPr>
          <w:color w:val="000000"/>
          <w:lang w:bidi="ru-RU"/>
        </w:rPr>
        <w:t xml:space="preserve">Ввод в действие жилых домов за 8 </w:t>
      </w:r>
      <w:proofErr w:type="spellStart"/>
      <w:r w:rsidRPr="005B4076">
        <w:rPr>
          <w:color w:val="000000"/>
          <w:lang w:bidi="ru-RU"/>
        </w:rPr>
        <w:t>мес</w:t>
      </w:r>
      <w:proofErr w:type="spellEnd"/>
      <w:proofErr w:type="gramStart"/>
      <w:r w:rsidRPr="005B4076">
        <w:rPr>
          <w:color w:val="000000"/>
          <w:lang w:bidi="ru-RU"/>
        </w:rPr>
        <w:t xml:space="preserve"> .</w:t>
      </w:r>
      <w:proofErr w:type="gramEnd"/>
      <w:r w:rsidRPr="005B4076">
        <w:rPr>
          <w:color w:val="000000"/>
          <w:lang w:bidi="ru-RU"/>
        </w:rPr>
        <w:t xml:space="preserve"> текущего года  на 1 тыс. человек населения района, составил 113 </w:t>
      </w:r>
      <w:proofErr w:type="spellStart"/>
      <w:r w:rsidRPr="005B4076">
        <w:rPr>
          <w:color w:val="000000"/>
          <w:lang w:bidi="ru-RU"/>
        </w:rPr>
        <w:t>м.кв</w:t>
      </w:r>
      <w:proofErr w:type="spellEnd"/>
      <w:r w:rsidRPr="005B4076">
        <w:rPr>
          <w:color w:val="000000"/>
          <w:lang w:bidi="ru-RU"/>
        </w:rPr>
        <w:t>. общей площади  и вырос в 9,7 раз в сравнении с 2018 г.</w:t>
      </w:r>
    </w:p>
    <w:p w:rsidR="005B4076" w:rsidRPr="005B4076" w:rsidRDefault="005B4076" w:rsidP="005B4076">
      <w:pPr>
        <w:widowControl w:val="0"/>
        <w:tabs>
          <w:tab w:val="left" w:pos="5198"/>
          <w:tab w:val="left" w:pos="8702"/>
        </w:tabs>
        <w:ind w:firstLine="740"/>
        <w:jc w:val="both"/>
      </w:pPr>
      <w:r w:rsidRPr="005B4076">
        <w:t>За январь-июль  текущего года  на 5,7% выросла среднесписочная численность работников  крупных и средних предприятий по сравнению с аналогичным периодом прошлого года и составила 18591 человек.</w:t>
      </w:r>
    </w:p>
    <w:p w:rsidR="005B4076" w:rsidRPr="005B4076" w:rsidRDefault="005B4076" w:rsidP="005B4076">
      <w:pPr>
        <w:widowControl w:val="0"/>
        <w:ind w:firstLine="740"/>
        <w:jc w:val="both"/>
        <w:rPr>
          <w:color w:val="000000"/>
          <w:lang w:bidi="ru-RU"/>
        </w:rPr>
      </w:pPr>
      <w:r w:rsidRPr="005B4076">
        <w:rPr>
          <w:color w:val="000000"/>
          <w:lang w:bidi="ru-RU"/>
        </w:rPr>
        <w:t xml:space="preserve">Среднемесячная номинальная заработная плата организаций (без учета субъектов малого и среднего предпринимательства) в январе-июле  текущего года на предприятиях Алданского района составила 74534,4 рублей и возросла на 6,5% в сравнении с тем же периодом прошлого года. </w:t>
      </w:r>
    </w:p>
    <w:p w:rsidR="000B20CE" w:rsidRDefault="000B20CE" w:rsidP="000B20CE">
      <w:pPr>
        <w:jc w:val="both"/>
      </w:pPr>
      <w:r>
        <w:t xml:space="preserve">            Таким образом, с</w:t>
      </w:r>
      <w:r w:rsidRPr="000B20CE">
        <w:t xml:space="preserve">оциально-экономическая ситуация в </w:t>
      </w:r>
      <w:r w:rsidR="00690F43">
        <w:t>Алданском районе</w:t>
      </w:r>
      <w:r w:rsidRPr="000B20CE">
        <w:t xml:space="preserve"> в </w:t>
      </w:r>
      <w:r w:rsidR="00690F43">
        <w:t xml:space="preserve">                      </w:t>
      </w:r>
      <w:r w:rsidRPr="000B20CE">
        <w:t>2019 году характеризуется позитивными тенденциями роста производства при умеренной динамике показателей социальной сферы.</w:t>
      </w:r>
    </w:p>
    <w:p w:rsidR="000B20CE" w:rsidRDefault="000B20CE" w:rsidP="000B20CE">
      <w:pPr>
        <w:jc w:val="both"/>
      </w:pPr>
    </w:p>
    <w:p w:rsidR="005B4076" w:rsidRPr="005B4076" w:rsidRDefault="005B4076" w:rsidP="005B4076">
      <w:pPr>
        <w:keepNext/>
        <w:overflowPunct w:val="0"/>
        <w:autoSpaceDE w:val="0"/>
        <w:autoSpaceDN w:val="0"/>
        <w:adjustRightInd w:val="0"/>
        <w:jc w:val="center"/>
        <w:textAlignment w:val="baseline"/>
        <w:outlineLvl w:val="0"/>
        <w:rPr>
          <w:b/>
          <w:szCs w:val="20"/>
          <w:lang w:bidi="ru-RU"/>
        </w:rPr>
      </w:pPr>
      <w:bookmarkStart w:id="6" w:name="bookmark10"/>
      <w:bookmarkStart w:id="7" w:name="bookmark11"/>
      <w:bookmarkStart w:id="8" w:name="bookmark12"/>
      <w:bookmarkStart w:id="9" w:name="_Toc528654822"/>
      <w:r w:rsidRPr="005B4076">
        <w:rPr>
          <w:b/>
          <w:szCs w:val="20"/>
          <w:lang w:bidi="ru-RU"/>
        </w:rPr>
        <w:t>Варианты прогноза социально-экономического развития</w:t>
      </w:r>
      <w:r w:rsidRPr="005B4076">
        <w:rPr>
          <w:b/>
          <w:szCs w:val="20"/>
          <w:lang w:bidi="ru-RU"/>
        </w:rPr>
        <w:br/>
      </w:r>
      <w:bookmarkEnd w:id="6"/>
      <w:bookmarkEnd w:id="7"/>
      <w:bookmarkEnd w:id="8"/>
      <w:r w:rsidRPr="005B4076">
        <w:rPr>
          <w:b/>
          <w:szCs w:val="20"/>
          <w:lang w:bidi="ru-RU"/>
        </w:rPr>
        <w:t>Алданского района</w:t>
      </w:r>
      <w:bookmarkEnd w:id="9"/>
    </w:p>
    <w:p w:rsidR="005B4076" w:rsidRPr="005B4076" w:rsidRDefault="005B4076" w:rsidP="005B4076">
      <w:pPr>
        <w:rPr>
          <w:lang w:bidi="ru-RU"/>
        </w:rPr>
      </w:pPr>
    </w:p>
    <w:p w:rsidR="005B4076" w:rsidRPr="005B4076" w:rsidRDefault="005B4076" w:rsidP="005B4076">
      <w:pPr>
        <w:widowControl w:val="0"/>
        <w:jc w:val="both"/>
        <w:rPr>
          <w:lang w:bidi="ru-RU"/>
        </w:rPr>
      </w:pPr>
      <w:r w:rsidRPr="005B4076">
        <w:rPr>
          <w:lang w:bidi="ru-RU"/>
        </w:rPr>
        <w:t xml:space="preserve">         Прогноз сценарных условий разработан в составе двух вариантов - базовый сценарий (вариант 1) и консервативный сценарий (вариант 2).</w:t>
      </w:r>
    </w:p>
    <w:p w:rsidR="005B4076" w:rsidRPr="005B4076" w:rsidRDefault="005B4076" w:rsidP="005B4076">
      <w:pPr>
        <w:jc w:val="both"/>
      </w:pPr>
      <w:r w:rsidRPr="005B4076">
        <w:t xml:space="preserve">         Основными базисными показателями прогноза социально-экономического развития РС (Я), в том числе и Алданского района, являются: среднегодовой обменный курс рубля к доллару США, прибыль рентабельных предприятий, фонд оплаты труда, объем добычи и реализации полезных ископаемых, среднегодовая остаточная стоимость объектов основных средств, дефляторы по видам экономической деятельности.  Указанные макроэкономические показатели применяются  и для расчета основных </w:t>
      </w:r>
      <w:proofErr w:type="spellStart"/>
      <w:r w:rsidRPr="005B4076">
        <w:t>бюджетообразующих</w:t>
      </w:r>
      <w:proofErr w:type="spellEnd"/>
      <w:r w:rsidRPr="005B4076">
        <w:t xml:space="preserve"> налогов.</w:t>
      </w:r>
    </w:p>
    <w:p w:rsidR="005B4076" w:rsidRPr="005B4076" w:rsidRDefault="005B4076" w:rsidP="005B4076">
      <w:pPr>
        <w:autoSpaceDE w:val="0"/>
        <w:autoSpaceDN w:val="0"/>
        <w:adjustRightInd w:val="0"/>
        <w:contextualSpacing/>
        <w:jc w:val="both"/>
        <w:rPr>
          <w:noProof/>
        </w:rPr>
      </w:pPr>
      <w:r w:rsidRPr="005B4076">
        <w:rPr>
          <w:b/>
          <w:i/>
          <w:noProof/>
        </w:rPr>
        <w:t xml:space="preserve">             </w:t>
      </w:r>
      <w:proofErr w:type="gramStart"/>
      <w:r w:rsidRPr="005B4076">
        <w:rPr>
          <w:b/>
          <w:i/>
          <w:noProof/>
        </w:rPr>
        <w:t>Базовый сценарий</w:t>
      </w:r>
      <w:r w:rsidRPr="005B4076">
        <w:rPr>
          <w:noProof/>
        </w:rPr>
        <w:t xml:space="preserve"> (вариант 1) является наиболее вероятным и составлен на основании долгосрочных и среднесрочных программ (стратегий) развития действующих крупных горнодобывающих предприятий, достигнутых уровней объемов добычи полезных ископаемых, фактических сроков выхода на проектную мощность горнопромышленных предприятий по реализуемым проектам, прогнозных оценок на золото на внутреннем и внешних рынках. </w:t>
      </w:r>
      <w:proofErr w:type="gramEnd"/>
    </w:p>
    <w:p w:rsidR="005B4076" w:rsidRPr="005B4076" w:rsidRDefault="005B4076" w:rsidP="005B4076">
      <w:pPr>
        <w:widowControl w:val="0"/>
        <w:ind w:firstLine="740"/>
        <w:jc w:val="both"/>
      </w:pPr>
      <w:r w:rsidRPr="005B4076">
        <w:rPr>
          <w:lang w:bidi="ru-RU"/>
        </w:rPr>
        <w:t xml:space="preserve">Сценарием предусматривается реализация задач, поставленных Указом </w:t>
      </w:r>
      <w:r w:rsidRPr="005B4076">
        <w:t>Президента РФ от 07 мая 2018 года № 204 «О национальных целях и стратегических задачах развития Российской Федерации на период до 2024 года».</w:t>
      </w:r>
    </w:p>
    <w:p w:rsidR="005B4076" w:rsidRPr="005B4076" w:rsidRDefault="005B4076" w:rsidP="005B4076">
      <w:pPr>
        <w:widowControl w:val="0"/>
        <w:ind w:firstLine="740"/>
        <w:rPr>
          <w:lang w:bidi="ru-RU"/>
        </w:rPr>
      </w:pPr>
      <w:r w:rsidRPr="005B4076">
        <w:t xml:space="preserve">Базовый  сценарий   планируется   принять   за  основу  для разработки  параметров </w:t>
      </w:r>
      <w:r w:rsidR="00A25CAE">
        <w:t xml:space="preserve">МО «Алданский район» на 2020 год  и   </w:t>
      </w:r>
      <w:r w:rsidRPr="005B4076">
        <w:t>плановый период 2021-2022 годы.</w:t>
      </w:r>
    </w:p>
    <w:p w:rsidR="005B4076" w:rsidRDefault="005B4076" w:rsidP="005B4076">
      <w:pPr>
        <w:widowControl w:val="0"/>
        <w:jc w:val="both"/>
        <w:rPr>
          <w:lang w:bidi="ru-RU"/>
        </w:rPr>
      </w:pPr>
      <w:r w:rsidRPr="005B4076">
        <w:rPr>
          <w:b/>
          <w:i/>
          <w:noProof/>
        </w:rPr>
        <w:t xml:space="preserve">          Консервативный сценарий</w:t>
      </w:r>
      <w:r w:rsidRPr="005B4076">
        <w:rPr>
          <w:noProof/>
        </w:rPr>
        <w:t xml:space="preserve"> (вариант 2) предусматривает снижение темпов экономического роста в результате  влияния внешнеэкономических и иных условий вследствие тенденций в мировой политической обстановке и российской экономике, на основе прогнозных оценок ведущих аналитических центров.</w:t>
      </w:r>
      <w:r w:rsidRPr="005B4076">
        <w:rPr>
          <w:lang w:bidi="ru-RU"/>
        </w:rPr>
        <w:t xml:space="preserve"> Вариант предполагает недостаточную инвестиционную активность частного сектора и невысокий рост реальных доходов населения. В рамках реализации данного сценария масштабы организационной, инновационной и инвестиционной деятельности социально-экономического развития района будут существенно ограничены. </w:t>
      </w:r>
    </w:p>
    <w:p w:rsidR="004C2503" w:rsidRPr="005B4076" w:rsidRDefault="004C2503" w:rsidP="005B4076">
      <w:pPr>
        <w:widowControl w:val="0"/>
        <w:jc w:val="both"/>
        <w:rPr>
          <w:lang w:bidi="ru-RU"/>
        </w:rPr>
      </w:pPr>
    </w:p>
    <w:p w:rsidR="005B4076" w:rsidRPr="005B4076" w:rsidRDefault="002B05A7" w:rsidP="005B4076">
      <w:pPr>
        <w:widowControl w:val="0"/>
        <w:jc w:val="both"/>
        <w:rPr>
          <w:lang w:bidi="ru-RU"/>
        </w:rPr>
      </w:pPr>
      <w:r>
        <w:rPr>
          <w:lang w:bidi="ru-RU"/>
        </w:rPr>
        <w:t xml:space="preserve">       </w:t>
      </w:r>
      <w:r w:rsidR="004C2503">
        <w:rPr>
          <w:lang w:bidi="ru-RU"/>
        </w:rPr>
        <w:t xml:space="preserve">  </w:t>
      </w:r>
      <w:r>
        <w:rPr>
          <w:lang w:bidi="ru-RU"/>
        </w:rPr>
        <w:t xml:space="preserve">  </w:t>
      </w:r>
      <w:r w:rsidR="005B4076" w:rsidRPr="005B4076">
        <w:rPr>
          <w:color w:val="000000"/>
        </w:rPr>
        <w:t xml:space="preserve">Согласно прогнозу Минэкономики РС (Я) </w:t>
      </w:r>
      <w:r w:rsidR="005B4076" w:rsidRPr="005B4076">
        <w:t xml:space="preserve">темпы инфляции в 2020 году составят 103,9% </w:t>
      </w:r>
      <w:r>
        <w:t>с замедлением до 3% к 2024 году,  курс доллара снизится</w:t>
      </w:r>
      <w:r w:rsidR="005B4076" w:rsidRPr="005B4076">
        <w:t xml:space="preserve"> на 0,3% и составит </w:t>
      </w:r>
      <w:r>
        <w:t xml:space="preserve">              </w:t>
      </w:r>
      <w:r w:rsidR="005B4076" w:rsidRPr="005B4076">
        <w:t>64,9 рублей.</w:t>
      </w:r>
    </w:p>
    <w:p w:rsidR="005B4076" w:rsidRDefault="005B4076" w:rsidP="005B4076">
      <w:r w:rsidRPr="005B4076">
        <w:lastRenderedPageBreak/>
        <w:t xml:space="preserve">            В 2020 году прогнозируется сохранение уровня добычи золота  на уровне 2019 года с минимальным процентом роста. </w:t>
      </w:r>
    </w:p>
    <w:p w:rsidR="002735C5" w:rsidRPr="005B4076" w:rsidRDefault="004C2503" w:rsidP="002735C5">
      <w:pPr>
        <w:widowControl w:val="0"/>
        <w:ind w:firstLine="740"/>
        <w:jc w:val="both"/>
        <w:rPr>
          <w:lang w:bidi="ru-RU"/>
        </w:rPr>
      </w:pPr>
      <w:r>
        <w:rPr>
          <w:lang w:bidi="ru-RU"/>
        </w:rPr>
        <w:t>В прогнозе учтены параметры реализации</w:t>
      </w:r>
      <w:r w:rsidR="002735C5" w:rsidRPr="005B4076">
        <w:rPr>
          <w:lang w:bidi="ru-RU"/>
        </w:rPr>
        <w:t xml:space="preserve"> Восточной газовой программы с газификацией южных районов Якутии, в том числе  населенных пунктов Алданского районов, расположенных вдоль газопровода «Сила Сибири» с 2020 года.</w:t>
      </w:r>
    </w:p>
    <w:p w:rsidR="005B4076" w:rsidRPr="005B4076" w:rsidRDefault="005B4076" w:rsidP="005B4076">
      <w:pPr>
        <w:jc w:val="both"/>
        <w:rPr>
          <w:lang w:bidi="ru-RU"/>
        </w:rPr>
      </w:pPr>
      <w:r w:rsidRPr="005B4076">
        <w:rPr>
          <w:lang w:bidi="ru-RU"/>
        </w:rPr>
        <w:t xml:space="preserve">            В связи с вступлением </w:t>
      </w:r>
      <w:r w:rsidR="007544F4">
        <w:rPr>
          <w:lang w:bidi="ru-RU"/>
        </w:rPr>
        <w:t xml:space="preserve">в силу с 01 января 2018 г. </w:t>
      </w:r>
      <w:r w:rsidRPr="005B4076">
        <w:rPr>
          <w:lang w:bidi="ru-RU"/>
        </w:rPr>
        <w:t xml:space="preserve">приказа Федеральной антимонопольной службы России, перевозка грузов на инфраструктуре АО «АК «ЖДЯ» осуществляется по единому с ОАО «РЖД» тарифу. При этом АО «АК» ЖДЯ» оказывает услуги локомотивной тяги и предоставления железнодорожной инфраструктуры перевозчику ОАО «РЖД», в </w:t>
      </w:r>
      <w:proofErr w:type="gramStart"/>
      <w:r w:rsidRPr="005B4076">
        <w:rPr>
          <w:lang w:bidi="ru-RU"/>
        </w:rPr>
        <w:t>связи</w:t>
      </w:r>
      <w:proofErr w:type="gramEnd"/>
      <w:r w:rsidRPr="005B4076">
        <w:rPr>
          <w:lang w:bidi="ru-RU"/>
        </w:rPr>
        <w:t xml:space="preserve"> с чем услуга по перевозке грузов железнодорожным транспортом</w:t>
      </w:r>
      <w:r w:rsidRPr="005B4076">
        <w:t xml:space="preserve"> </w:t>
      </w:r>
      <w:r w:rsidRPr="005B4076">
        <w:rPr>
          <w:lang w:bidi="ru-RU"/>
        </w:rPr>
        <w:t xml:space="preserve">АО «АК» ЖДЯ» с 01.01.2018 г., не осуществляется, что в свою очередь обуславливает отсутствие показателей объема перевозки грузов, грузооборота железнодорожным транспортом в прогнозном периоде. </w:t>
      </w:r>
    </w:p>
    <w:p w:rsidR="005B4076" w:rsidRPr="005B4076" w:rsidRDefault="005B4076" w:rsidP="005B4076">
      <w:pPr>
        <w:widowControl w:val="0"/>
        <w:ind w:firstLine="740"/>
        <w:jc w:val="both"/>
      </w:pPr>
      <w:r w:rsidRPr="005B4076">
        <w:rPr>
          <w:lang w:bidi="ru-RU"/>
        </w:rPr>
        <w:t xml:space="preserve">В прогнозном периоде будет продолжаться тенденция </w:t>
      </w:r>
      <w:r w:rsidR="002735C5">
        <w:rPr>
          <w:lang w:bidi="ru-RU"/>
        </w:rPr>
        <w:t>к  снижению</w:t>
      </w:r>
      <w:r w:rsidRPr="005B4076">
        <w:rPr>
          <w:lang w:bidi="ru-RU"/>
        </w:rPr>
        <w:t xml:space="preserve"> численности населения Алданского района. </w:t>
      </w:r>
      <w:r w:rsidRPr="005B4076">
        <w:t xml:space="preserve"> </w:t>
      </w:r>
    </w:p>
    <w:p w:rsidR="005B4076" w:rsidRPr="005B4076" w:rsidRDefault="005B4076" w:rsidP="005B4076">
      <w:pPr>
        <w:widowControl w:val="0"/>
        <w:ind w:firstLine="740"/>
        <w:jc w:val="both"/>
        <w:rPr>
          <w:lang w:bidi="ru-RU"/>
        </w:rPr>
      </w:pPr>
      <w:r w:rsidRPr="005B4076">
        <w:t xml:space="preserve">Положительным фактором, способствующим  </w:t>
      </w:r>
      <w:r w:rsidR="00A25CAE">
        <w:t>росту</w:t>
      </w:r>
      <w:r w:rsidRPr="005B4076">
        <w:t xml:space="preserve"> заработной платы, является повышение минимального </w:t>
      </w:r>
      <w:proofErr w:type="gramStart"/>
      <w:r w:rsidRPr="005B4076">
        <w:t>размера оплаты труда</w:t>
      </w:r>
      <w:proofErr w:type="gramEnd"/>
      <w:r w:rsidRPr="005B4076">
        <w:t>, который в соответствии с действующим федеральным законодательством МРОТ будет ежегодно устанавливаться в размере величины прожиточного минимума трудоспособного населения за II квартал предыдущего года. В  случае снижения фактического прожиточного минимума трудоспособного населения величина МРОТ не уменьшается.</w:t>
      </w:r>
    </w:p>
    <w:p w:rsidR="002713CE" w:rsidRPr="005B4076" w:rsidRDefault="002713CE" w:rsidP="002713CE">
      <w:pPr>
        <w:jc w:val="both"/>
      </w:pPr>
      <w:r w:rsidRPr="005B4076">
        <w:t xml:space="preserve">     </w:t>
      </w:r>
      <w:r w:rsidR="004C2503">
        <w:t xml:space="preserve">   </w:t>
      </w:r>
      <w:r w:rsidRPr="005B4076">
        <w:t xml:space="preserve">    Показатели прогноза являются ориентирами социально-экономического развития района на среднесрочный период для органов местного самоуправления Алданского района и хозяйствующих субъектов.</w:t>
      </w:r>
    </w:p>
    <w:p w:rsidR="002713CE" w:rsidRPr="005B4076" w:rsidRDefault="002713CE" w:rsidP="002713CE">
      <w:pPr>
        <w:jc w:val="both"/>
      </w:pP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Pr>
        <w:sectPr w:rsidR="005B4076" w:rsidSect="00B31D9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0"/>
          <w:cols w:space="708"/>
          <w:titlePg/>
          <w:docGrid w:linePitch="360"/>
        </w:sectPr>
      </w:pPr>
    </w:p>
    <w:tbl>
      <w:tblPr>
        <w:tblpPr w:leftFromText="180" w:rightFromText="180" w:horzAnchor="margin" w:tblpX="500" w:tblpY="-1695"/>
        <w:tblW w:w="14850" w:type="dxa"/>
        <w:tblLayout w:type="fixed"/>
        <w:tblLook w:val="04A0" w:firstRow="1" w:lastRow="0" w:firstColumn="1" w:lastColumn="0" w:noHBand="0" w:noVBand="1"/>
      </w:tblPr>
      <w:tblGrid>
        <w:gridCol w:w="709"/>
        <w:gridCol w:w="2585"/>
        <w:gridCol w:w="1417"/>
        <w:gridCol w:w="1418"/>
        <w:gridCol w:w="1451"/>
        <w:gridCol w:w="1418"/>
        <w:gridCol w:w="1417"/>
        <w:gridCol w:w="1418"/>
        <w:gridCol w:w="1383"/>
        <w:gridCol w:w="217"/>
        <w:gridCol w:w="1417"/>
      </w:tblGrid>
      <w:tr w:rsidR="005B4076" w:rsidRPr="005B4076" w:rsidTr="00710D71">
        <w:trPr>
          <w:trHeight w:val="375"/>
        </w:trPr>
        <w:tc>
          <w:tcPr>
            <w:tcW w:w="14850" w:type="dxa"/>
            <w:gridSpan w:val="11"/>
            <w:tcBorders>
              <w:top w:val="nil"/>
              <w:left w:val="nil"/>
              <w:bottom w:val="nil"/>
              <w:right w:val="nil"/>
            </w:tcBorders>
            <w:shd w:val="clear" w:color="auto" w:fill="auto"/>
            <w:noWrap/>
            <w:vAlign w:val="bottom"/>
            <w:hideMark/>
          </w:tcPr>
          <w:p w:rsidR="005B4076" w:rsidRPr="005B4076" w:rsidRDefault="005B4076" w:rsidP="005B4076">
            <w:pPr>
              <w:keepNext/>
              <w:overflowPunct w:val="0"/>
              <w:autoSpaceDE w:val="0"/>
              <w:autoSpaceDN w:val="0"/>
              <w:adjustRightInd w:val="0"/>
              <w:jc w:val="center"/>
              <w:textAlignment w:val="baseline"/>
              <w:outlineLvl w:val="0"/>
              <w:rPr>
                <w:b/>
                <w:sz w:val="28"/>
                <w:szCs w:val="28"/>
              </w:rPr>
            </w:pPr>
          </w:p>
          <w:p w:rsidR="005B4076" w:rsidRPr="005B4076" w:rsidRDefault="005B4076" w:rsidP="005B4076">
            <w:pPr>
              <w:keepNext/>
              <w:overflowPunct w:val="0"/>
              <w:autoSpaceDE w:val="0"/>
              <w:autoSpaceDN w:val="0"/>
              <w:adjustRightInd w:val="0"/>
              <w:jc w:val="center"/>
              <w:textAlignment w:val="baseline"/>
              <w:outlineLvl w:val="0"/>
              <w:rPr>
                <w:b/>
                <w:sz w:val="28"/>
                <w:szCs w:val="28"/>
              </w:rPr>
            </w:pPr>
          </w:p>
          <w:p w:rsidR="005B4076" w:rsidRDefault="005B4076" w:rsidP="005B4076">
            <w:pPr>
              <w:keepNext/>
              <w:overflowPunct w:val="0"/>
              <w:autoSpaceDE w:val="0"/>
              <w:autoSpaceDN w:val="0"/>
              <w:adjustRightInd w:val="0"/>
              <w:jc w:val="center"/>
              <w:textAlignment w:val="baseline"/>
              <w:outlineLvl w:val="0"/>
              <w:rPr>
                <w:b/>
                <w:sz w:val="28"/>
                <w:szCs w:val="28"/>
              </w:rPr>
            </w:pPr>
            <w:bookmarkStart w:id="10" w:name="_Toc528654823"/>
          </w:p>
          <w:p w:rsidR="005B4076" w:rsidRPr="005B4076" w:rsidRDefault="005B4076" w:rsidP="005B4076">
            <w:pPr>
              <w:keepNext/>
              <w:overflowPunct w:val="0"/>
              <w:autoSpaceDE w:val="0"/>
              <w:autoSpaceDN w:val="0"/>
              <w:adjustRightInd w:val="0"/>
              <w:jc w:val="center"/>
              <w:textAlignment w:val="baseline"/>
              <w:outlineLvl w:val="0"/>
              <w:rPr>
                <w:b/>
                <w:sz w:val="28"/>
                <w:szCs w:val="28"/>
              </w:rPr>
            </w:pPr>
            <w:r w:rsidRPr="005B4076">
              <w:rPr>
                <w:b/>
                <w:sz w:val="28"/>
                <w:szCs w:val="28"/>
              </w:rPr>
              <w:t xml:space="preserve">Основные параметры прогноза социально-экономического развития </w:t>
            </w:r>
            <w:r>
              <w:rPr>
                <w:b/>
                <w:sz w:val="28"/>
                <w:szCs w:val="28"/>
              </w:rPr>
              <w:t xml:space="preserve">                                                                   </w:t>
            </w:r>
            <w:r w:rsidRPr="005B4076">
              <w:rPr>
                <w:b/>
                <w:sz w:val="28"/>
                <w:szCs w:val="28"/>
              </w:rPr>
              <w:t>муниципального образования</w:t>
            </w:r>
            <w:r>
              <w:rPr>
                <w:b/>
                <w:sz w:val="28"/>
                <w:szCs w:val="28"/>
              </w:rPr>
              <w:t xml:space="preserve">  </w:t>
            </w:r>
            <w:r w:rsidRPr="005B4076">
              <w:rPr>
                <w:b/>
                <w:sz w:val="28"/>
                <w:szCs w:val="28"/>
              </w:rPr>
              <w:t>«Алданский</w:t>
            </w:r>
            <w:r w:rsidRPr="005B4076">
              <w:rPr>
                <w:szCs w:val="20"/>
              </w:rPr>
              <w:t xml:space="preserve"> </w:t>
            </w:r>
            <w:r w:rsidRPr="005B4076">
              <w:rPr>
                <w:b/>
                <w:sz w:val="28"/>
                <w:szCs w:val="28"/>
              </w:rPr>
              <w:t>район» на 2020 год и плановый период 2021-2022 годов</w:t>
            </w:r>
            <w:bookmarkEnd w:id="10"/>
          </w:p>
          <w:p w:rsidR="005B4076" w:rsidRPr="005B4076" w:rsidRDefault="005B4076" w:rsidP="005B4076">
            <w:pPr>
              <w:jc w:val="center"/>
            </w:pPr>
          </w:p>
        </w:tc>
      </w:tr>
      <w:tr w:rsidR="005B4076" w:rsidRPr="005B4076" w:rsidTr="00710D71">
        <w:trPr>
          <w:trHeight w:val="423"/>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 xml:space="preserve">№ </w:t>
            </w:r>
            <w:proofErr w:type="gramStart"/>
            <w:r w:rsidRPr="005B4076">
              <w:rPr>
                <w:color w:val="000000"/>
                <w:sz w:val="20"/>
                <w:szCs w:val="20"/>
              </w:rPr>
              <w:t>п</w:t>
            </w:r>
            <w:proofErr w:type="gramEnd"/>
            <w:r w:rsidRPr="005B4076">
              <w:rPr>
                <w:color w:val="000000"/>
                <w:sz w:val="20"/>
                <w:szCs w:val="20"/>
              </w:rPr>
              <w:t>/п</w:t>
            </w:r>
          </w:p>
        </w:tc>
        <w:tc>
          <w:tcPr>
            <w:tcW w:w="2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2018 год               отчет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2019 год            оценка</w:t>
            </w:r>
          </w:p>
        </w:tc>
        <w:tc>
          <w:tcPr>
            <w:tcW w:w="2869" w:type="dxa"/>
            <w:gridSpan w:val="2"/>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2020 год                                  прогноз</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2021 год                                план</w:t>
            </w:r>
          </w:p>
        </w:tc>
        <w:tc>
          <w:tcPr>
            <w:tcW w:w="3017" w:type="dxa"/>
            <w:gridSpan w:val="3"/>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2022 год                                                                        план</w:t>
            </w:r>
          </w:p>
        </w:tc>
      </w:tr>
      <w:tr w:rsidR="005B4076" w:rsidRPr="005B4076" w:rsidTr="00710D71">
        <w:trPr>
          <w:trHeight w:val="31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5B4076">
            <w:pPr>
              <w:rPr>
                <w:color w:val="000000"/>
                <w:sz w:val="20"/>
                <w:szCs w:val="20"/>
              </w:rPr>
            </w:pPr>
          </w:p>
        </w:tc>
        <w:tc>
          <w:tcPr>
            <w:tcW w:w="2585"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5B4076">
            <w:pPr>
              <w:rPr>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5B4076">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5B4076">
            <w:pPr>
              <w:rPr>
                <w:color w:val="000000"/>
                <w:sz w:val="20"/>
                <w:szCs w:val="20"/>
              </w:rPr>
            </w:pPr>
          </w:p>
        </w:tc>
        <w:tc>
          <w:tcPr>
            <w:tcW w:w="1451"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базовый</w:t>
            </w:r>
          </w:p>
        </w:tc>
        <w:tc>
          <w:tcPr>
            <w:tcW w:w="1418"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базовый</w:t>
            </w:r>
          </w:p>
        </w:tc>
        <w:tc>
          <w:tcPr>
            <w:tcW w:w="1418"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c>
          <w:tcPr>
            <w:tcW w:w="1600" w:type="dxa"/>
            <w:gridSpan w:val="2"/>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r w:rsidRPr="005B4076">
              <w:rPr>
                <w:color w:val="000000"/>
                <w:sz w:val="20"/>
                <w:szCs w:val="20"/>
              </w:rPr>
              <w:t>базовый</w:t>
            </w:r>
          </w:p>
        </w:tc>
        <w:tc>
          <w:tcPr>
            <w:tcW w:w="1417"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5B4076">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r>
      <w:tr w:rsidR="005B4076"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B4076" w:rsidRPr="005B4076" w:rsidRDefault="005B4076" w:rsidP="005B4076">
            <w:pPr>
              <w:jc w:val="center"/>
              <w:rPr>
                <w:b/>
                <w:bCs/>
                <w:color w:val="000000"/>
                <w:sz w:val="20"/>
                <w:szCs w:val="20"/>
              </w:rPr>
            </w:pPr>
            <w:r w:rsidRPr="005B4076">
              <w:rPr>
                <w:b/>
                <w:bCs/>
                <w:color w:val="000000"/>
                <w:sz w:val="20"/>
                <w:szCs w:val="20"/>
              </w:rPr>
              <w:t>1.</w:t>
            </w:r>
          </w:p>
        </w:tc>
        <w:tc>
          <w:tcPr>
            <w:tcW w:w="2585" w:type="dxa"/>
            <w:tcBorders>
              <w:top w:val="nil"/>
              <w:left w:val="nil"/>
              <w:bottom w:val="single" w:sz="4" w:space="0" w:color="auto"/>
              <w:right w:val="single" w:sz="4" w:space="0" w:color="auto"/>
            </w:tcBorders>
            <w:shd w:val="clear" w:color="auto" w:fill="auto"/>
            <w:vAlign w:val="bottom"/>
            <w:hideMark/>
          </w:tcPr>
          <w:p w:rsidR="005B4076" w:rsidRPr="005B4076" w:rsidRDefault="005B4076" w:rsidP="005B4076">
            <w:pPr>
              <w:rPr>
                <w:b/>
                <w:bCs/>
                <w:color w:val="000000"/>
                <w:sz w:val="20"/>
                <w:szCs w:val="20"/>
              </w:rPr>
            </w:pPr>
            <w:r w:rsidRPr="005B4076">
              <w:rPr>
                <w:b/>
                <w:bCs/>
                <w:color w:val="000000"/>
                <w:sz w:val="20"/>
                <w:szCs w:val="20"/>
              </w:rPr>
              <w:t>Среднегодовая численность населения, чел.</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38 967</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38 298</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38 009</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37 965</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37 735</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37 500</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37 133</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37 027</w:t>
            </w:r>
          </w:p>
        </w:tc>
      </w:tr>
      <w:tr w:rsidR="005B4076" w:rsidRPr="005B4076" w:rsidTr="00710D71">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B4076" w:rsidRPr="005B4076" w:rsidRDefault="005B4076" w:rsidP="005B4076">
            <w:pPr>
              <w:jc w:val="center"/>
              <w:rPr>
                <w:b/>
                <w:bCs/>
                <w:color w:val="000000"/>
                <w:sz w:val="20"/>
                <w:szCs w:val="20"/>
              </w:rPr>
            </w:pPr>
            <w:r w:rsidRPr="005B4076">
              <w:rPr>
                <w:b/>
                <w:bCs/>
                <w:color w:val="000000"/>
                <w:sz w:val="20"/>
                <w:szCs w:val="20"/>
              </w:rPr>
              <w:t>2.</w:t>
            </w:r>
          </w:p>
        </w:tc>
        <w:tc>
          <w:tcPr>
            <w:tcW w:w="2585" w:type="dxa"/>
            <w:tcBorders>
              <w:top w:val="nil"/>
              <w:left w:val="nil"/>
              <w:bottom w:val="single" w:sz="4" w:space="0" w:color="auto"/>
              <w:right w:val="single" w:sz="4" w:space="0" w:color="auto"/>
            </w:tcBorders>
            <w:shd w:val="clear" w:color="auto" w:fill="auto"/>
            <w:vAlign w:val="bottom"/>
            <w:hideMark/>
          </w:tcPr>
          <w:p w:rsidR="005B4076" w:rsidRPr="005B4076" w:rsidRDefault="005B4076" w:rsidP="005B4076">
            <w:pPr>
              <w:rPr>
                <w:b/>
                <w:bCs/>
                <w:color w:val="000000"/>
                <w:sz w:val="20"/>
                <w:szCs w:val="20"/>
              </w:rPr>
            </w:pPr>
            <w:r w:rsidRPr="005B4076">
              <w:rPr>
                <w:b/>
                <w:bCs/>
                <w:color w:val="000000"/>
                <w:sz w:val="20"/>
                <w:szCs w:val="20"/>
              </w:rPr>
              <w:t xml:space="preserve">Среднегодовая численность занятых в экономике, чел. </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22 412</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22 636</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22 641</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22 620</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22 691</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22 620</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22 721</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22 628</w:t>
            </w:r>
          </w:p>
        </w:tc>
      </w:tr>
      <w:tr w:rsidR="005B4076"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5B4076" w:rsidRPr="005B4076" w:rsidRDefault="005B4076" w:rsidP="005B4076">
            <w:pPr>
              <w:jc w:val="center"/>
              <w:rPr>
                <w:b/>
                <w:bCs/>
                <w:color w:val="000000"/>
                <w:sz w:val="20"/>
                <w:szCs w:val="20"/>
              </w:rPr>
            </w:pPr>
            <w:r w:rsidRPr="005B4076">
              <w:rPr>
                <w:b/>
                <w:bCs/>
                <w:color w:val="000000"/>
                <w:sz w:val="20"/>
                <w:szCs w:val="20"/>
              </w:rPr>
              <w:t>3.</w:t>
            </w:r>
          </w:p>
        </w:tc>
        <w:tc>
          <w:tcPr>
            <w:tcW w:w="2585" w:type="dxa"/>
            <w:tcBorders>
              <w:top w:val="nil"/>
              <w:left w:val="nil"/>
              <w:bottom w:val="single" w:sz="4" w:space="0" w:color="auto"/>
              <w:right w:val="single" w:sz="4" w:space="0" w:color="auto"/>
            </w:tcBorders>
            <w:shd w:val="clear" w:color="auto" w:fill="auto"/>
            <w:vAlign w:val="bottom"/>
          </w:tcPr>
          <w:p w:rsidR="005B4076" w:rsidRPr="005B4076" w:rsidRDefault="005B4076" w:rsidP="005B4076">
            <w:pPr>
              <w:rPr>
                <w:b/>
                <w:bCs/>
                <w:color w:val="000000"/>
                <w:sz w:val="20"/>
                <w:szCs w:val="20"/>
              </w:rPr>
            </w:pPr>
            <w:r w:rsidRPr="005B4076">
              <w:rPr>
                <w:b/>
                <w:bCs/>
                <w:color w:val="000000"/>
                <w:sz w:val="20"/>
                <w:szCs w:val="20"/>
              </w:rPr>
              <w:t>Среднесписочная численность работников, занятых на предприятиях и организациях, человек</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17 098</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19 207</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18 341</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18 340</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17 683</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17 679</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17 370</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17 370</w:t>
            </w:r>
          </w:p>
        </w:tc>
      </w:tr>
      <w:tr w:rsidR="005B4076"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B4076" w:rsidRPr="005B4076" w:rsidRDefault="005B4076" w:rsidP="005B4076">
            <w:pPr>
              <w:jc w:val="center"/>
              <w:rPr>
                <w:b/>
                <w:bCs/>
                <w:color w:val="000000"/>
                <w:sz w:val="20"/>
                <w:szCs w:val="20"/>
              </w:rPr>
            </w:pPr>
            <w:r w:rsidRPr="005B4076">
              <w:rPr>
                <w:b/>
                <w:bCs/>
                <w:color w:val="000000"/>
                <w:sz w:val="20"/>
                <w:szCs w:val="20"/>
              </w:rPr>
              <w:t>4.</w:t>
            </w:r>
          </w:p>
        </w:tc>
        <w:tc>
          <w:tcPr>
            <w:tcW w:w="2585" w:type="dxa"/>
            <w:tcBorders>
              <w:top w:val="nil"/>
              <w:left w:val="nil"/>
              <w:bottom w:val="single" w:sz="4" w:space="0" w:color="auto"/>
              <w:right w:val="single" w:sz="4" w:space="0" w:color="auto"/>
            </w:tcBorders>
            <w:shd w:val="clear" w:color="auto" w:fill="auto"/>
            <w:vAlign w:val="bottom"/>
            <w:hideMark/>
          </w:tcPr>
          <w:p w:rsidR="005B4076" w:rsidRPr="005B4076" w:rsidRDefault="005B4076" w:rsidP="005B4076">
            <w:pPr>
              <w:rPr>
                <w:b/>
                <w:bCs/>
                <w:color w:val="000000"/>
                <w:sz w:val="20"/>
                <w:szCs w:val="20"/>
              </w:rPr>
            </w:pPr>
            <w:r w:rsidRPr="005B4076">
              <w:rPr>
                <w:b/>
                <w:bCs/>
                <w:color w:val="000000"/>
                <w:sz w:val="20"/>
                <w:szCs w:val="20"/>
              </w:rPr>
              <w:t xml:space="preserve">Уровень общей безработицы,  </w:t>
            </w:r>
            <w:proofErr w:type="gramStart"/>
            <w:r w:rsidRPr="005B4076">
              <w:rPr>
                <w:b/>
                <w:bCs/>
                <w:color w:val="000000"/>
                <w:sz w:val="20"/>
                <w:szCs w:val="20"/>
              </w:rPr>
              <w:t>в</w:t>
            </w:r>
            <w:proofErr w:type="gramEnd"/>
            <w:r w:rsidRPr="005B4076">
              <w:rPr>
                <w:b/>
                <w:bCs/>
                <w:color w:val="000000"/>
                <w:sz w:val="20"/>
                <w:szCs w:val="20"/>
              </w:rPr>
              <w:t xml:space="preserve"> % к рабочей силе</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3,4</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3,3</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3,2</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3,3</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3,0</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3,2</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2,8</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3,2</w:t>
            </w:r>
          </w:p>
        </w:tc>
      </w:tr>
      <w:tr w:rsidR="005B4076" w:rsidRPr="005B4076" w:rsidTr="00710D71">
        <w:trPr>
          <w:trHeight w:val="690"/>
        </w:trPr>
        <w:tc>
          <w:tcPr>
            <w:tcW w:w="709" w:type="dxa"/>
            <w:tcBorders>
              <w:top w:val="nil"/>
              <w:left w:val="single" w:sz="4" w:space="0" w:color="auto"/>
              <w:bottom w:val="single" w:sz="4" w:space="0" w:color="auto"/>
              <w:right w:val="single" w:sz="4" w:space="0" w:color="auto"/>
            </w:tcBorders>
            <w:shd w:val="clear" w:color="auto" w:fill="auto"/>
            <w:vAlign w:val="center"/>
          </w:tcPr>
          <w:p w:rsidR="005B4076" w:rsidRPr="005B4076" w:rsidRDefault="005B4076" w:rsidP="005B4076">
            <w:pPr>
              <w:jc w:val="center"/>
              <w:rPr>
                <w:b/>
                <w:bCs/>
                <w:color w:val="000000"/>
                <w:sz w:val="20"/>
                <w:szCs w:val="20"/>
              </w:rPr>
            </w:pPr>
            <w:r w:rsidRPr="005B4076">
              <w:rPr>
                <w:b/>
                <w:bCs/>
                <w:color w:val="000000"/>
                <w:sz w:val="20"/>
                <w:szCs w:val="20"/>
              </w:rPr>
              <w:t>5.</w:t>
            </w:r>
          </w:p>
        </w:tc>
        <w:tc>
          <w:tcPr>
            <w:tcW w:w="2585" w:type="dxa"/>
            <w:tcBorders>
              <w:top w:val="nil"/>
              <w:left w:val="nil"/>
              <w:bottom w:val="single" w:sz="4" w:space="0" w:color="auto"/>
              <w:right w:val="single" w:sz="4" w:space="0" w:color="auto"/>
            </w:tcBorders>
            <w:shd w:val="clear" w:color="auto" w:fill="auto"/>
          </w:tcPr>
          <w:p w:rsidR="00B31D91" w:rsidRPr="005B4076" w:rsidRDefault="005B4076" w:rsidP="005B4076">
            <w:pPr>
              <w:rPr>
                <w:b/>
                <w:bCs/>
                <w:color w:val="000000"/>
                <w:sz w:val="20"/>
                <w:szCs w:val="20"/>
              </w:rPr>
            </w:pPr>
            <w:r w:rsidRPr="005B4076">
              <w:rPr>
                <w:b/>
                <w:bCs/>
                <w:color w:val="000000"/>
                <w:sz w:val="20"/>
                <w:szCs w:val="20"/>
              </w:rPr>
              <w:t xml:space="preserve">Уровень официально зарегистрированной безработицы, </w:t>
            </w:r>
            <w:proofErr w:type="gramStart"/>
            <w:r w:rsidRPr="005B4076">
              <w:rPr>
                <w:b/>
                <w:bCs/>
                <w:color w:val="000000"/>
                <w:sz w:val="20"/>
                <w:szCs w:val="20"/>
              </w:rPr>
              <w:t>в</w:t>
            </w:r>
            <w:proofErr w:type="gramEnd"/>
            <w:r w:rsidRPr="005B4076">
              <w:rPr>
                <w:b/>
                <w:bCs/>
                <w:color w:val="000000"/>
                <w:sz w:val="20"/>
                <w:szCs w:val="20"/>
              </w:rPr>
              <w:t xml:space="preserve"> % к рабочей силе</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c>
          <w:tcPr>
            <w:tcW w:w="1600" w:type="dxa"/>
            <w:gridSpan w:val="2"/>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0,6</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5B4076" w:rsidP="005B4076">
            <w:pPr>
              <w:jc w:val="center"/>
              <w:rPr>
                <w:color w:val="000000"/>
                <w:sz w:val="20"/>
                <w:szCs w:val="20"/>
              </w:rPr>
            </w:pPr>
            <w:r w:rsidRPr="005B4076">
              <w:rPr>
                <w:color w:val="000000"/>
                <w:sz w:val="20"/>
                <w:szCs w:val="20"/>
              </w:rPr>
              <w:t>0,7</w:t>
            </w:r>
          </w:p>
        </w:tc>
      </w:tr>
      <w:tr w:rsidR="00B31D91" w:rsidRPr="005B4076" w:rsidTr="00710D71">
        <w:trPr>
          <w:trHeight w:val="690"/>
        </w:trPr>
        <w:tc>
          <w:tcPr>
            <w:tcW w:w="709" w:type="dxa"/>
            <w:tcBorders>
              <w:top w:val="nil"/>
              <w:left w:val="single" w:sz="4" w:space="0" w:color="auto"/>
              <w:bottom w:val="single" w:sz="4" w:space="0" w:color="auto"/>
              <w:right w:val="single" w:sz="4" w:space="0" w:color="auto"/>
            </w:tcBorders>
            <w:shd w:val="clear" w:color="auto" w:fill="auto"/>
            <w:vAlign w:val="center"/>
          </w:tcPr>
          <w:p w:rsidR="00B31D91" w:rsidRPr="005B4076" w:rsidRDefault="00B31D91" w:rsidP="005B4076">
            <w:pPr>
              <w:jc w:val="center"/>
              <w:rPr>
                <w:b/>
                <w:bCs/>
                <w:color w:val="000000"/>
                <w:sz w:val="20"/>
                <w:szCs w:val="20"/>
              </w:rPr>
            </w:pPr>
            <w:r>
              <w:rPr>
                <w:b/>
                <w:bCs/>
                <w:color w:val="000000"/>
                <w:sz w:val="20"/>
                <w:szCs w:val="20"/>
              </w:rPr>
              <w:t>6.</w:t>
            </w:r>
          </w:p>
        </w:tc>
        <w:tc>
          <w:tcPr>
            <w:tcW w:w="2585" w:type="dxa"/>
            <w:tcBorders>
              <w:top w:val="nil"/>
              <w:left w:val="nil"/>
              <w:bottom w:val="single" w:sz="4" w:space="0" w:color="auto"/>
              <w:right w:val="single" w:sz="4" w:space="0" w:color="auto"/>
            </w:tcBorders>
            <w:shd w:val="clear" w:color="auto" w:fill="auto"/>
          </w:tcPr>
          <w:p w:rsidR="00B31D91" w:rsidRPr="005B4076" w:rsidRDefault="00B31D91" w:rsidP="005B4076">
            <w:pPr>
              <w:rPr>
                <w:b/>
                <w:bCs/>
                <w:color w:val="000000"/>
                <w:sz w:val="20"/>
                <w:szCs w:val="20"/>
              </w:rPr>
            </w:pPr>
            <w:r>
              <w:rPr>
                <w:b/>
                <w:bCs/>
                <w:color w:val="000000"/>
                <w:sz w:val="20"/>
                <w:szCs w:val="20"/>
              </w:rPr>
              <w:t>Среднемесячная заработная плата работников</w:t>
            </w:r>
            <w:r w:rsidR="00D51D4A">
              <w:rPr>
                <w:b/>
                <w:bCs/>
                <w:color w:val="000000"/>
                <w:sz w:val="20"/>
                <w:szCs w:val="20"/>
              </w:rPr>
              <w:t xml:space="preserve"> предприятий и организаций,  </w:t>
            </w:r>
            <w:r>
              <w:rPr>
                <w:b/>
                <w:bCs/>
                <w:color w:val="000000"/>
                <w:sz w:val="20"/>
                <w:szCs w:val="20"/>
              </w:rPr>
              <w:t>руб.</w:t>
            </w:r>
          </w:p>
        </w:tc>
        <w:tc>
          <w:tcPr>
            <w:tcW w:w="1417"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69 679,2</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72 748,6</w:t>
            </w:r>
          </w:p>
        </w:tc>
        <w:tc>
          <w:tcPr>
            <w:tcW w:w="1451"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77 393,8</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76 347,6</w:t>
            </w:r>
          </w:p>
        </w:tc>
        <w:tc>
          <w:tcPr>
            <w:tcW w:w="1417"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82 824,1</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81 057,9</w:t>
            </w:r>
          </w:p>
        </w:tc>
        <w:tc>
          <w:tcPr>
            <w:tcW w:w="1600" w:type="dxa"/>
            <w:gridSpan w:val="2"/>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88 658,7</w:t>
            </w:r>
          </w:p>
        </w:tc>
        <w:tc>
          <w:tcPr>
            <w:tcW w:w="1417" w:type="dxa"/>
            <w:tcBorders>
              <w:top w:val="nil"/>
              <w:left w:val="nil"/>
              <w:bottom w:val="single" w:sz="4" w:space="0" w:color="auto"/>
              <w:right w:val="single" w:sz="4" w:space="0" w:color="auto"/>
            </w:tcBorders>
            <w:shd w:val="clear" w:color="auto" w:fill="auto"/>
            <w:vAlign w:val="center"/>
          </w:tcPr>
          <w:p w:rsidR="00B31D91" w:rsidRPr="005B4076" w:rsidRDefault="00B31D91" w:rsidP="005B4076">
            <w:pPr>
              <w:jc w:val="center"/>
              <w:rPr>
                <w:color w:val="000000"/>
                <w:sz w:val="20"/>
                <w:szCs w:val="20"/>
              </w:rPr>
            </w:pPr>
            <w:r>
              <w:rPr>
                <w:color w:val="000000"/>
                <w:sz w:val="20"/>
                <w:szCs w:val="20"/>
              </w:rPr>
              <w:t>85 978,6</w:t>
            </w:r>
          </w:p>
        </w:tc>
      </w:tr>
      <w:tr w:rsidR="00D51D4A" w:rsidRPr="005B4076" w:rsidTr="006B7B35">
        <w:trPr>
          <w:trHeight w:val="690"/>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Default="00D51D4A" w:rsidP="007544F4">
            <w:pPr>
              <w:jc w:val="center"/>
              <w:rPr>
                <w:b/>
                <w:bCs/>
                <w:color w:val="000000"/>
                <w:sz w:val="20"/>
                <w:szCs w:val="20"/>
              </w:rPr>
            </w:pPr>
            <w:r>
              <w:rPr>
                <w:b/>
                <w:bCs/>
                <w:color w:val="000000"/>
                <w:sz w:val="20"/>
                <w:szCs w:val="20"/>
              </w:rPr>
              <w:t>7.</w:t>
            </w:r>
          </w:p>
        </w:tc>
        <w:tc>
          <w:tcPr>
            <w:tcW w:w="2585" w:type="dxa"/>
            <w:tcBorders>
              <w:top w:val="nil"/>
              <w:left w:val="nil"/>
              <w:bottom w:val="single" w:sz="4" w:space="0" w:color="auto"/>
              <w:right w:val="single" w:sz="4" w:space="0" w:color="auto"/>
            </w:tcBorders>
            <w:shd w:val="clear" w:color="auto" w:fill="auto"/>
          </w:tcPr>
          <w:p w:rsidR="00D51D4A" w:rsidRDefault="00D51D4A" w:rsidP="005B4076">
            <w:pPr>
              <w:rPr>
                <w:b/>
                <w:bCs/>
                <w:color w:val="000000"/>
                <w:sz w:val="20"/>
                <w:szCs w:val="20"/>
              </w:rPr>
            </w:pPr>
            <w:r>
              <w:rPr>
                <w:b/>
                <w:bCs/>
                <w:color w:val="000000"/>
                <w:sz w:val="20"/>
                <w:szCs w:val="20"/>
              </w:rPr>
              <w:t xml:space="preserve">Фонд оплаты труда работников предприятий и организаций, </w:t>
            </w:r>
            <w:proofErr w:type="spellStart"/>
            <w:r>
              <w:rPr>
                <w:b/>
                <w:bCs/>
                <w:color w:val="000000"/>
                <w:sz w:val="20"/>
                <w:szCs w:val="20"/>
              </w:rPr>
              <w:t>тыс</w:t>
            </w:r>
            <w:proofErr w:type="gramStart"/>
            <w:r>
              <w:rPr>
                <w:b/>
                <w:bCs/>
                <w:color w:val="000000"/>
                <w:sz w:val="20"/>
                <w:szCs w:val="20"/>
              </w:rPr>
              <w:t>.р</w:t>
            </w:r>
            <w:proofErr w:type="gramEnd"/>
            <w:r>
              <w:rPr>
                <w:b/>
                <w:bCs/>
                <w:color w:val="000000"/>
                <w:sz w:val="20"/>
                <w:szCs w:val="20"/>
              </w:rPr>
              <w:t>уб</w:t>
            </w:r>
            <w:proofErr w:type="spellEnd"/>
            <w:r>
              <w:rPr>
                <w:b/>
                <w:bCs/>
                <w:color w:val="000000"/>
                <w:sz w:val="20"/>
                <w:szCs w:val="20"/>
              </w:rPr>
              <w:t>.</w:t>
            </w:r>
          </w:p>
          <w:p w:rsidR="00A25CAE" w:rsidRDefault="00A25CAE" w:rsidP="005B4076">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D51D4A" w:rsidRDefault="00D51D4A" w:rsidP="00D51D4A">
            <w:pPr>
              <w:rPr>
                <w:color w:val="000000"/>
                <w:sz w:val="20"/>
                <w:szCs w:val="20"/>
              </w:rPr>
            </w:pPr>
            <w:r w:rsidRPr="00D51D4A">
              <w:rPr>
                <w:color w:val="000000"/>
                <w:sz w:val="20"/>
                <w:szCs w:val="20"/>
              </w:rPr>
              <w:t>14 296 499,54</w:t>
            </w:r>
          </w:p>
          <w:p w:rsidR="00A25CAE" w:rsidRPr="00D51D4A" w:rsidRDefault="00A25CAE" w:rsidP="00D51D4A">
            <w:pPr>
              <w:rPr>
                <w:color w:val="000000"/>
                <w:sz w:val="20"/>
                <w:szCs w:val="20"/>
              </w:rPr>
            </w:pPr>
          </w:p>
          <w:p w:rsidR="00D51D4A" w:rsidRPr="00D51D4A" w:rsidRDefault="00D51D4A" w:rsidP="00D51D4A">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16 767 388,32</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51"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17 033 756,23</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16 802 579,81</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17 574 942,72</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17 196 271,4</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600" w:type="dxa"/>
            <w:gridSpan w:val="2"/>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18 480 019,43</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rsidR="00D51D4A" w:rsidRDefault="00D51D4A">
            <w:pPr>
              <w:jc w:val="right"/>
              <w:rPr>
                <w:color w:val="000000"/>
                <w:sz w:val="20"/>
                <w:szCs w:val="20"/>
              </w:rPr>
            </w:pPr>
            <w:r w:rsidRPr="00D51D4A">
              <w:rPr>
                <w:color w:val="000000"/>
                <w:sz w:val="20"/>
                <w:szCs w:val="20"/>
              </w:rPr>
              <w:t>17 921 379,38</w:t>
            </w:r>
          </w:p>
          <w:p w:rsidR="00A25CAE" w:rsidRPr="00D51D4A" w:rsidRDefault="00A25CAE">
            <w:pPr>
              <w:jc w:val="right"/>
              <w:rPr>
                <w:color w:val="000000"/>
                <w:sz w:val="20"/>
                <w:szCs w:val="20"/>
              </w:rPr>
            </w:pPr>
          </w:p>
          <w:p w:rsidR="00D51D4A" w:rsidRPr="00D51D4A" w:rsidRDefault="00D51D4A">
            <w:pPr>
              <w:jc w:val="right"/>
              <w:rPr>
                <w:color w:val="000000"/>
                <w:sz w:val="20"/>
                <w:szCs w:val="20"/>
              </w:rPr>
            </w:pP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0767BA">
            <w:pPr>
              <w:jc w:val="center"/>
              <w:rPr>
                <w:b/>
                <w:bCs/>
                <w:color w:val="000000"/>
                <w:sz w:val="20"/>
                <w:szCs w:val="20"/>
              </w:rPr>
            </w:pPr>
            <w:r>
              <w:rPr>
                <w:b/>
                <w:bCs/>
                <w:color w:val="000000"/>
                <w:sz w:val="20"/>
                <w:szCs w:val="20"/>
              </w:rPr>
              <w:lastRenderedPageBreak/>
              <w:t>8.</w:t>
            </w:r>
          </w:p>
        </w:tc>
        <w:tc>
          <w:tcPr>
            <w:tcW w:w="14141" w:type="dxa"/>
            <w:gridSpan w:val="10"/>
            <w:tcBorders>
              <w:top w:val="single" w:sz="4" w:space="0" w:color="auto"/>
              <w:left w:val="nil"/>
              <w:bottom w:val="single" w:sz="4" w:space="0" w:color="auto"/>
              <w:right w:val="single" w:sz="4" w:space="0" w:color="000000"/>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Производство важнейших видов промышленной продукции</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5B4076">
            <w:pPr>
              <w:jc w:val="center"/>
              <w:rPr>
                <w:color w:val="000000"/>
                <w:sz w:val="20"/>
                <w:szCs w:val="20"/>
              </w:rPr>
            </w:pPr>
            <w:r>
              <w:rPr>
                <w:color w:val="000000"/>
                <w:sz w:val="20"/>
                <w:szCs w:val="20"/>
              </w:rPr>
              <w:t>8</w:t>
            </w:r>
            <w:r w:rsidR="00D51D4A" w:rsidRPr="005B4076">
              <w:rPr>
                <w:color w:val="000000"/>
                <w:sz w:val="20"/>
                <w:szCs w:val="20"/>
              </w:rPr>
              <w:t>.1.</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 xml:space="preserve">Руды и концентраты золотосодержащие, </w:t>
            </w:r>
            <w:proofErr w:type="gramStart"/>
            <w:r w:rsidRPr="005B4076">
              <w:rPr>
                <w:color w:val="000000"/>
                <w:sz w:val="20"/>
                <w:szCs w:val="20"/>
              </w:rPr>
              <w:t>кг</w:t>
            </w:r>
            <w:proofErr w:type="gramEnd"/>
            <w:r w:rsidRPr="005B4076">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12 888,9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12 388,9</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12 460,5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12 460,5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12 512,2</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12 512,2</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12 598,4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12 598,4</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5B4076">
            <w:pPr>
              <w:jc w:val="center"/>
              <w:rPr>
                <w:color w:val="000000"/>
                <w:sz w:val="20"/>
                <w:szCs w:val="20"/>
              </w:rPr>
            </w:pPr>
            <w:r>
              <w:rPr>
                <w:color w:val="000000"/>
                <w:sz w:val="20"/>
                <w:szCs w:val="20"/>
              </w:rPr>
              <w:t>8</w:t>
            </w:r>
            <w:r w:rsidR="00D51D4A" w:rsidRPr="005B4076">
              <w:rPr>
                <w:color w:val="000000"/>
                <w:sz w:val="20"/>
                <w:szCs w:val="20"/>
              </w:rPr>
              <w:t>.2.</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 xml:space="preserve">Брёвна хвойных пород, </w:t>
            </w:r>
            <w:proofErr w:type="spellStart"/>
            <w:r w:rsidRPr="005B4076">
              <w:rPr>
                <w:color w:val="000000"/>
                <w:sz w:val="20"/>
                <w:szCs w:val="20"/>
              </w:rPr>
              <w:t>тыс</w:t>
            </w:r>
            <w:proofErr w:type="gramStart"/>
            <w:r w:rsidRPr="005B4076">
              <w:rPr>
                <w:color w:val="000000"/>
                <w:sz w:val="20"/>
                <w:szCs w:val="20"/>
              </w:rPr>
              <w:t>.к</w:t>
            </w:r>
            <w:proofErr w:type="gramEnd"/>
            <w:r w:rsidRPr="005B4076">
              <w:rPr>
                <w:color w:val="000000"/>
                <w:sz w:val="20"/>
                <w:szCs w:val="20"/>
              </w:rPr>
              <w:t>уб.м</w:t>
            </w:r>
            <w:proofErr w:type="spellEnd"/>
            <w:r w:rsidRPr="005B4076">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29,3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30,6</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30,9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30,9</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31,2</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31,2</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31,5</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31,5</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5B4076">
            <w:pPr>
              <w:jc w:val="center"/>
              <w:rPr>
                <w:color w:val="000000"/>
                <w:sz w:val="20"/>
                <w:szCs w:val="20"/>
              </w:rPr>
            </w:pPr>
            <w:r>
              <w:rPr>
                <w:color w:val="000000"/>
                <w:sz w:val="20"/>
                <w:szCs w:val="20"/>
              </w:rPr>
              <w:t>8</w:t>
            </w:r>
            <w:r w:rsidR="00D51D4A" w:rsidRPr="005B4076">
              <w:rPr>
                <w:color w:val="000000"/>
                <w:sz w:val="20"/>
                <w:szCs w:val="20"/>
              </w:rPr>
              <w:t>.3.</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 xml:space="preserve">Лесоматериалы, тыс. </w:t>
            </w:r>
            <w:proofErr w:type="spellStart"/>
            <w:r w:rsidRPr="005B4076">
              <w:rPr>
                <w:color w:val="000000"/>
                <w:sz w:val="20"/>
                <w:szCs w:val="20"/>
              </w:rPr>
              <w:t>куб.м</w:t>
            </w:r>
            <w:proofErr w:type="spellEnd"/>
            <w:r w:rsidRPr="005B4076">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12,03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11,9</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11,9</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12,0</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13,0</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12,2</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0767BA" w:rsidP="005B4076">
            <w:pPr>
              <w:jc w:val="center"/>
              <w:rPr>
                <w:b/>
                <w:bCs/>
                <w:color w:val="000000"/>
                <w:sz w:val="20"/>
                <w:szCs w:val="20"/>
              </w:rPr>
            </w:pPr>
            <w:r>
              <w:rPr>
                <w:b/>
                <w:bCs/>
                <w:color w:val="000000"/>
                <w:sz w:val="20"/>
                <w:szCs w:val="20"/>
              </w:rPr>
              <w:t>9</w:t>
            </w:r>
            <w:r w:rsidR="00D51D4A" w:rsidRPr="005B4076">
              <w:rPr>
                <w:b/>
                <w:bCs/>
                <w:color w:val="000000"/>
                <w:sz w:val="20"/>
                <w:szCs w:val="20"/>
              </w:rPr>
              <w:t>.</w:t>
            </w:r>
          </w:p>
        </w:tc>
        <w:tc>
          <w:tcPr>
            <w:tcW w:w="14141" w:type="dxa"/>
            <w:gridSpan w:val="10"/>
            <w:tcBorders>
              <w:top w:val="single" w:sz="4" w:space="0" w:color="auto"/>
              <w:left w:val="nil"/>
              <w:bottom w:val="single" w:sz="4" w:space="0" w:color="auto"/>
              <w:right w:val="single" w:sz="4" w:space="0" w:color="000000"/>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 xml:space="preserve">Численность сельскохозяйственных животных: </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.1.</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Крупный рогатый скот,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575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651</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659</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658</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.1.1.</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в том числе: коров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334</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333</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335</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339</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337</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.2.</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Лошадей,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643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652</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652</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654</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657</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655</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.3.</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Свиней,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1543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1540</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1 544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1 541</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1 549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1 546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1 553</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1 550</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.4.</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Оленей,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7366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7595</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7 598</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7 596</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7 600</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7 598</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7 605</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7 600</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9</w:t>
            </w:r>
            <w:r w:rsidR="00D51D4A" w:rsidRPr="005B4076">
              <w:rPr>
                <w:color w:val="000000"/>
                <w:sz w:val="20"/>
                <w:szCs w:val="20"/>
              </w:rPr>
              <w:t>.5.</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Птиц, голов</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1653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1655</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1 660</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1 665</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1 668</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1 666</w:t>
            </w:r>
          </w:p>
        </w:tc>
      </w:tr>
      <w:tr w:rsidR="00D51D4A" w:rsidRPr="005B4076" w:rsidTr="00710D71">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10</w:t>
            </w:r>
            <w:r w:rsidR="00D51D4A" w:rsidRPr="005B4076">
              <w:rPr>
                <w:b/>
                <w:bCs/>
                <w:color w:val="000000"/>
                <w:sz w:val="20"/>
                <w:szCs w:val="20"/>
              </w:rPr>
              <w:t>.</w:t>
            </w:r>
          </w:p>
        </w:tc>
        <w:tc>
          <w:tcPr>
            <w:tcW w:w="14141" w:type="dxa"/>
            <w:gridSpan w:val="10"/>
            <w:tcBorders>
              <w:top w:val="nil"/>
              <w:left w:val="nil"/>
              <w:bottom w:val="single" w:sz="4" w:space="0" w:color="auto"/>
              <w:right w:val="single" w:sz="4" w:space="0" w:color="auto"/>
            </w:tcBorders>
            <w:shd w:val="clear" w:color="auto" w:fill="auto"/>
            <w:hideMark/>
          </w:tcPr>
          <w:p w:rsidR="00D51D4A" w:rsidRPr="005B4076" w:rsidRDefault="00D51D4A" w:rsidP="005B4076">
            <w:pPr>
              <w:rPr>
                <w:color w:val="000000"/>
                <w:sz w:val="20"/>
                <w:szCs w:val="20"/>
              </w:rPr>
            </w:pPr>
            <w:r w:rsidRPr="005B4076">
              <w:rPr>
                <w:b/>
                <w:bCs/>
                <w:color w:val="000000"/>
                <w:sz w:val="20"/>
                <w:szCs w:val="20"/>
              </w:rPr>
              <w:t>Объем производства сельскохозяйственной продукции:</w:t>
            </w:r>
            <w:r w:rsidRPr="005B4076">
              <w:rPr>
                <w:color w:val="000000"/>
                <w:sz w:val="20"/>
                <w:szCs w:val="20"/>
              </w:rPr>
              <w:t> </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.1.</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Скота и птицы в живом весе,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164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169</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170,1</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170,2</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170,1</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170,2</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.2.</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Молока,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733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775,1</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774,7</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.3.</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 xml:space="preserve">Яиц, </w:t>
            </w:r>
            <w:proofErr w:type="spellStart"/>
            <w:r w:rsidRPr="005B4076">
              <w:rPr>
                <w:color w:val="000000"/>
                <w:sz w:val="20"/>
                <w:szCs w:val="20"/>
              </w:rPr>
              <w:t>тыс.т</w:t>
            </w:r>
            <w:proofErr w:type="spellEnd"/>
            <w:r w:rsidRPr="005B4076">
              <w:rPr>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440,1</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489,0</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489,9</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489,1</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.4.</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Картофеля,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3 087,3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3 117,1</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3 121,4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3 117,2</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color w:val="000000"/>
                <w:sz w:val="20"/>
                <w:szCs w:val="20"/>
              </w:rPr>
            </w:pPr>
            <w:r>
              <w:rPr>
                <w:color w:val="000000"/>
                <w:sz w:val="20"/>
                <w:szCs w:val="20"/>
              </w:rPr>
              <w:t>10</w:t>
            </w:r>
            <w:r w:rsidR="00D51D4A" w:rsidRPr="005B4076">
              <w:rPr>
                <w:color w:val="000000"/>
                <w:sz w:val="20"/>
                <w:szCs w:val="20"/>
              </w:rPr>
              <w:t>.5.</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color w:val="000000"/>
                <w:sz w:val="20"/>
                <w:szCs w:val="20"/>
              </w:rPr>
            </w:pPr>
            <w:r w:rsidRPr="005B4076">
              <w:rPr>
                <w:color w:val="000000"/>
                <w:sz w:val="20"/>
                <w:szCs w:val="20"/>
              </w:rPr>
              <w:t>Овощей,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625,9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351</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351,9</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348,7</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352,6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349,4</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353,6</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350</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11</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Объем перевозок грузов, тыс. тонн</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6 195,8</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8 272</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8 951,7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8 682,5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9 743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9278</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9 887,4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9 619</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12</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 xml:space="preserve">Объем </w:t>
            </w:r>
            <w:proofErr w:type="spellStart"/>
            <w:r w:rsidRPr="005B4076">
              <w:rPr>
                <w:b/>
                <w:bCs/>
                <w:color w:val="000000"/>
                <w:sz w:val="20"/>
                <w:szCs w:val="20"/>
              </w:rPr>
              <w:t>пассажироперевозок</w:t>
            </w:r>
            <w:proofErr w:type="spellEnd"/>
            <w:r w:rsidRPr="005B4076">
              <w:rPr>
                <w:b/>
                <w:bCs/>
                <w:color w:val="000000"/>
                <w:sz w:val="20"/>
                <w:szCs w:val="20"/>
              </w:rPr>
              <w:t>,  тыс. пасс</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1 463,6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1 477</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1 487,2</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1 229,2</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1478,7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1460</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1 477,3</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1 458</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13</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Грузооборот организаций транспорта, тыс. тонн-км</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910 165,6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1 355 174</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1 667 290,8</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1 528 960,4</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1 842 269,7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1 743 716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1 858 267,4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1 807 828</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14</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Пассажирооборот организаций транспорта тыс. пасс-км</w:t>
            </w:r>
          </w:p>
        </w:tc>
        <w:tc>
          <w:tcPr>
            <w:tcW w:w="1417"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59 654,9</w:t>
            </w:r>
          </w:p>
        </w:tc>
        <w:tc>
          <w:tcPr>
            <w:tcW w:w="1418"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61 379</w:t>
            </w:r>
          </w:p>
        </w:tc>
        <w:tc>
          <w:tcPr>
            <w:tcW w:w="1451"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60 593,6</w:t>
            </w:r>
          </w:p>
        </w:tc>
        <w:tc>
          <w:tcPr>
            <w:tcW w:w="1418"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60 709,6</w:t>
            </w:r>
          </w:p>
        </w:tc>
        <w:tc>
          <w:tcPr>
            <w:tcW w:w="1417"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61 679,4</w:t>
            </w:r>
          </w:p>
        </w:tc>
        <w:tc>
          <w:tcPr>
            <w:tcW w:w="1418"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61 096</w:t>
            </w:r>
          </w:p>
        </w:tc>
        <w:tc>
          <w:tcPr>
            <w:tcW w:w="1383" w:type="dxa"/>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62 032,2</w:t>
            </w:r>
          </w:p>
        </w:tc>
        <w:tc>
          <w:tcPr>
            <w:tcW w:w="1634" w:type="dxa"/>
            <w:gridSpan w:val="2"/>
            <w:tcBorders>
              <w:top w:val="nil"/>
              <w:left w:val="nil"/>
              <w:bottom w:val="single" w:sz="4" w:space="0" w:color="auto"/>
              <w:right w:val="single" w:sz="4" w:space="0" w:color="auto"/>
            </w:tcBorders>
            <w:shd w:val="clear" w:color="auto" w:fill="auto"/>
            <w:noWrap/>
            <w:vAlign w:val="center"/>
          </w:tcPr>
          <w:p w:rsidR="00D51D4A" w:rsidRPr="005B4076" w:rsidRDefault="00D51D4A" w:rsidP="005B4076">
            <w:pPr>
              <w:jc w:val="center"/>
              <w:rPr>
                <w:color w:val="000000"/>
                <w:sz w:val="20"/>
                <w:szCs w:val="20"/>
              </w:rPr>
            </w:pPr>
            <w:r w:rsidRPr="005B4076">
              <w:rPr>
                <w:color w:val="000000"/>
                <w:sz w:val="20"/>
                <w:szCs w:val="20"/>
              </w:rPr>
              <w:t>61 436</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Pr="005B4076" w:rsidRDefault="00E66713" w:rsidP="005B4076">
            <w:pPr>
              <w:jc w:val="center"/>
              <w:rPr>
                <w:b/>
                <w:color w:val="000000"/>
                <w:sz w:val="20"/>
                <w:szCs w:val="20"/>
              </w:rPr>
            </w:pPr>
            <w:r>
              <w:rPr>
                <w:b/>
                <w:color w:val="000000"/>
                <w:sz w:val="20"/>
                <w:szCs w:val="20"/>
              </w:rPr>
              <w:lastRenderedPageBreak/>
              <w:t>15</w:t>
            </w:r>
            <w:r w:rsidR="00D51D4A" w:rsidRPr="005B4076">
              <w:rPr>
                <w:b/>
                <w:color w:val="000000"/>
                <w:sz w:val="20"/>
                <w:szCs w:val="20"/>
              </w:rPr>
              <w:t xml:space="preserve">. </w:t>
            </w:r>
          </w:p>
        </w:tc>
        <w:tc>
          <w:tcPr>
            <w:tcW w:w="2585" w:type="dxa"/>
            <w:tcBorders>
              <w:top w:val="nil"/>
              <w:left w:val="nil"/>
              <w:bottom w:val="single" w:sz="4" w:space="0" w:color="auto"/>
              <w:right w:val="single" w:sz="4" w:space="0" w:color="auto"/>
            </w:tcBorders>
            <w:shd w:val="clear" w:color="auto" w:fill="auto"/>
            <w:vAlign w:val="bottom"/>
          </w:tcPr>
          <w:p w:rsidR="00D51D4A" w:rsidRPr="005B4076" w:rsidRDefault="00D51D4A" w:rsidP="005B4076">
            <w:pPr>
              <w:rPr>
                <w:b/>
                <w:color w:val="000000"/>
                <w:sz w:val="20"/>
                <w:szCs w:val="20"/>
              </w:rPr>
            </w:pPr>
            <w:r w:rsidRPr="005B4076">
              <w:rPr>
                <w:b/>
                <w:color w:val="000000"/>
                <w:sz w:val="20"/>
                <w:szCs w:val="20"/>
              </w:rPr>
              <w:t xml:space="preserve">Протяженность автомобильных дорог общего пользования, </w:t>
            </w:r>
            <w:proofErr w:type="gramStart"/>
            <w:r w:rsidRPr="005B4076">
              <w:rPr>
                <w:b/>
                <w:color w:val="000000"/>
                <w:sz w:val="20"/>
                <w:szCs w:val="20"/>
              </w:rPr>
              <w:t>км</w:t>
            </w:r>
            <w:proofErr w:type="gramEnd"/>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 xml:space="preserve"> 1 445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 xml:space="preserve"> 1 445</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b/>
                <w:color w:val="000000"/>
                <w:sz w:val="20"/>
                <w:szCs w:val="20"/>
              </w:rPr>
            </w:pPr>
            <w:r w:rsidRPr="005B4076">
              <w:rPr>
                <w:b/>
                <w:color w:val="000000"/>
                <w:sz w:val="20"/>
                <w:szCs w:val="20"/>
              </w:rPr>
              <w:t>1 445</w:t>
            </w:r>
          </w:p>
        </w:tc>
      </w:tr>
      <w:tr w:rsidR="00D51D4A" w:rsidRPr="005B4076" w:rsidTr="00710D71">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51D4A" w:rsidRPr="005B4076" w:rsidRDefault="00E66713" w:rsidP="005B4076">
            <w:pPr>
              <w:jc w:val="center"/>
              <w:rPr>
                <w:b/>
                <w:bCs/>
                <w:color w:val="000000"/>
                <w:sz w:val="20"/>
                <w:szCs w:val="20"/>
              </w:rPr>
            </w:pPr>
            <w:r>
              <w:rPr>
                <w:b/>
                <w:bCs/>
                <w:color w:val="000000"/>
                <w:sz w:val="20"/>
                <w:szCs w:val="20"/>
              </w:rPr>
              <w:t>16</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hideMark/>
          </w:tcPr>
          <w:p w:rsidR="00D51D4A" w:rsidRPr="005B4076" w:rsidRDefault="00D51D4A" w:rsidP="005B4076">
            <w:pPr>
              <w:rPr>
                <w:b/>
                <w:bCs/>
                <w:color w:val="000000"/>
                <w:sz w:val="20"/>
                <w:szCs w:val="20"/>
              </w:rPr>
            </w:pPr>
            <w:r w:rsidRPr="005B4076">
              <w:rPr>
                <w:b/>
                <w:bCs/>
                <w:color w:val="000000"/>
                <w:sz w:val="20"/>
                <w:szCs w:val="20"/>
              </w:rPr>
              <w:t>Объем розничной торговли в действующих ценах, млн. руб.</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8 501,5</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9 006</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10 124,6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9 379,1</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10 924,4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9 798,2</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11 766</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10 216,3</w:t>
            </w:r>
          </w:p>
        </w:tc>
      </w:tr>
      <w:tr w:rsidR="00D51D4A" w:rsidRPr="005B4076" w:rsidTr="00710D71">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Pr="005B4076" w:rsidRDefault="00E66713" w:rsidP="005B4076">
            <w:pPr>
              <w:jc w:val="center"/>
              <w:rPr>
                <w:b/>
                <w:bCs/>
                <w:color w:val="000000"/>
                <w:sz w:val="20"/>
                <w:szCs w:val="20"/>
              </w:rPr>
            </w:pPr>
            <w:r>
              <w:rPr>
                <w:b/>
                <w:bCs/>
                <w:color w:val="000000"/>
                <w:sz w:val="20"/>
                <w:szCs w:val="20"/>
              </w:rPr>
              <w:t>17</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tcPr>
          <w:p w:rsidR="00D51D4A" w:rsidRPr="005B4076" w:rsidRDefault="00D51D4A" w:rsidP="005B4076">
            <w:pPr>
              <w:rPr>
                <w:b/>
                <w:bCs/>
                <w:color w:val="000000"/>
                <w:sz w:val="20"/>
                <w:szCs w:val="20"/>
              </w:rPr>
            </w:pPr>
            <w:r w:rsidRPr="005B4076">
              <w:rPr>
                <w:b/>
                <w:bCs/>
                <w:color w:val="000000"/>
                <w:sz w:val="20"/>
                <w:szCs w:val="20"/>
              </w:rPr>
              <w:t>Объем платных услуг населению в действующих ценах, тыс. руб.</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1 466 871,6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1 553 000</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1 649 776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1 640 850</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1 741 528</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1 731 052</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1 836 573</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1 822 624</w:t>
            </w:r>
          </w:p>
        </w:tc>
      </w:tr>
      <w:tr w:rsidR="00D51D4A" w:rsidRPr="005B4076" w:rsidTr="00710D71">
        <w:trPr>
          <w:trHeight w:val="630"/>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Pr="005B4076" w:rsidRDefault="00E66713" w:rsidP="005B4076">
            <w:pPr>
              <w:jc w:val="center"/>
              <w:rPr>
                <w:b/>
                <w:bCs/>
                <w:color w:val="000000"/>
                <w:sz w:val="20"/>
                <w:szCs w:val="20"/>
              </w:rPr>
            </w:pPr>
            <w:r>
              <w:rPr>
                <w:b/>
                <w:bCs/>
                <w:color w:val="000000"/>
                <w:sz w:val="20"/>
                <w:szCs w:val="20"/>
              </w:rPr>
              <w:t>18</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tcPr>
          <w:p w:rsidR="00D51D4A" w:rsidRPr="005B4076" w:rsidRDefault="00D51D4A" w:rsidP="005B4076">
            <w:pPr>
              <w:rPr>
                <w:b/>
                <w:bCs/>
                <w:color w:val="000000"/>
                <w:sz w:val="20"/>
                <w:szCs w:val="20"/>
              </w:rPr>
            </w:pPr>
            <w:r w:rsidRPr="005B4076">
              <w:rPr>
                <w:b/>
                <w:bCs/>
                <w:color w:val="000000"/>
                <w:sz w:val="20"/>
                <w:szCs w:val="20"/>
              </w:rPr>
              <w:t>Среднегодовая стоимость основных фондов по полной учетной стоимости коммерческих и некоммерческих организаций, млн. руб.</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208 646,6</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222 244</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223 966,3</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223 966,3</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223 966,3</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223 966</w:t>
            </w:r>
          </w:p>
        </w:tc>
      </w:tr>
      <w:tr w:rsidR="00D51D4A" w:rsidRPr="005B4076" w:rsidTr="00710D71">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D51D4A" w:rsidRPr="005B4076" w:rsidRDefault="00E66713" w:rsidP="005B4076">
            <w:pPr>
              <w:jc w:val="center"/>
              <w:rPr>
                <w:b/>
                <w:bCs/>
                <w:color w:val="000000"/>
                <w:sz w:val="20"/>
                <w:szCs w:val="20"/>
              </w:rPr>
            </w:pPr>
            <w:r>
              <w:rPr>
                <w:b/>
                <w:bCs/>
                <w:color w:val="000000"/>
                <w:sz w:val="20"/>
                <w:szCs w:val="20"/>
              </w:rPr>
              <w:t>19</w:t>
            </w:r>
            <w:r w:rsidR="00D51D4A" w:rsidRPr="005B4076">
              <w:rPr>
                <w:b/>
                <w:bCs/>
                <w:color w:val="000000"/>
                <w:sz w:val="20"/>
                <w:szCs w:val="20"/>
              </w:rPr>
              <w:t>.</w:t>
            </w:r>
          </w:p>
        </w:tc>
        <w:tc>
          <w:tcPr>
            <w:tcW w:w="2585" w:type="dxa"/>
            <w:tcBorders>
              <w:top w:val="nil"/>
              <w:left w:val="nil"/>
              <w:bottom w:val="single" w:sz="4" w:space="0" w:color="auto"/>
              <w:right w:val="single" w:sz="4" w:space="0" w:color="auto"/>
            </w:tcBorders>
            <w:shd w:val="clear" w:color="auto" w:fill="auto"/>
            <w:vAlign w:val="bottom"/>
          </w:tcPr>
          <w:p w:rsidR="00D51D4A" w:rsidRPr="005B4076" w:rsidRDefault="00D51D4A" w:rsidP="005B4076">
            <w:pPr>
              <w:rPr>
                <w:b/>
                <w:bCs/>
                <w:color w:val="000000"/>
                <w:sz w:val="20"/>
                <w:szCs w:val="20"/>
              </w:rPr>
            </w:pPr>
            <w:r w:rsidRPr="005B4076">
              <w:rPr>
                <w:b/>
                <w:bCs/>
                <w:color w:val="000000"/>
                <w:sz w:val="20"/>
                <w:szCs w:val="20"/>
              </w:rPr>
              <w:t>Среднегодовая стоимость основных фондов по остаточной  учетной стоимости коммерческих и некоммерческих организаций, млн. руб.</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140 032,1</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145 096</w:t>
            </w:r>
          </w:p>
        </w:tc>
        <w:tc>
          <w:tcPr>
            <w:tcW w:w="1451"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142 760,7</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142 760,7</w:t>
            </w:r>
          </w:p>
        </w:tc>
        <w:tc>
          <w:tcPr>
            <w:tcW w:w="1417"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138 828,4</w:t>
            </w:r>
          </w:p>
        </w:tc>
        <w:tc>
          <w:tcPr>
            <w:tcW w:w="1418"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138 828,4</w:t>
            </w:r>
          </w:p>
        </w:tc>
        <w:tc>
          <w:tcPr>
            <w:tcW w:w="1383" w:type="dxa"/>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135 034</w:t>
            </w:r>
          </w:p>
        </w:tc>
        <w:tc>
          <w:tcPr>
            <w:tcW w:w="1634" w:type="dxa"/>
            <w:gridSpan w:val="2"/>
            <w:tcBorders>
              <w:top w:val="nil"/>
              <w:left w:val="nil"/>
              <w:bottom w:val="single" w:sz="4" w:space="0" w:color="auto"/>
              <w:right w:val="single" w:sz="4" w:space="0" w:color="auto"/>
            </w:tcBorders>
            <w:shd w:val="clear" w:color="auto" w:fill="auto"/>
            <w:vAlign w:val="center"/>
          </w:tcPr>
          <w:p w:rsidR="00D51D4A" w:rsidRPr="005B4076" w:rsidRDefault="00D51D4A" w:rsidP="005B4076">
            <w:pPr>
              <w:jc w:val="center"/>
              <w:rPr>
                <w:color w:val="000000"/>
                <w:sz w:val="20"/>
                <w:szCs w:val="20"/>
              </w:rPr>
            </w:pPr>
            <w:r w:rsidRPr="005B4076">
              <w:rPr>
                <w:color w:val="000000"/>
                <w:sz w:val="20"/>
                <w:szCs w:val="20"/>
              </w:rPr>
              <w:t>135 034</w:t>
            </w:r>
          </w:p>
        </w:tc>
      </w:tr>
    </w:tbl>
    <w:p w:rsidR="005B4076" w:rsidRPr="005B4076" w:rsidRDefault="005B4076" w:rsidP="005B4076">
      <w:pPr>
        <w:rPr>
          <w:sz w:val="20"/>
          <w:szCs w:val="20"/>
        </w:rPr>
      </w:pP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sectPr w:rsidR="005B4076" w:rsidSect="005B407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D8" w:rsidRDefault="009B38D8" w:rsidP="00501EFE">
      <w:r>
        <w:separator/>
      </w:r>
    </w:p>
  </w:endnote>
  <w:endnote w:type="continuationSeparator" w:id="0">
    <w:p w:rsidR="009B38D8" w:rsidRDefault="009B38D8" w:rsidP="0050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084247"/>
      <w:docPartObj>
        <w:docPartGallery w:val="Page Numbers (Bottom of Page)"/>
        <w:docPartUnique/>
      </w:docPartObj>
    </w:sdtPr>
    <w:sdtEndPr/>
    <w:sdtContent>
      <w:p w:rsidR="00B31D91" w:rsidRDefault="00B31D91">
        <w:pPr>
          <w:pStyle w:val="a9"/>
          <w:jc w:val="center"/>
        </w:pPr>
        <w:r>
          <w:fldChar w:fldCharType="begin"/>
        </w:r>
        <w:r>
          <w:instrText>PAGE   \* MERGEFORMAT</w:instrText>
        </w:r>
        <w:r>
          <w:fldChar w:fldCharType="separate"/>
        </w:r>
        <w:r w:rsidR="00215F2F">
          <w:rPr>
            <w:noProof/>
          </w:rPr>
          <w:t>1</w:t>
        </w:r>
        <w:r>
          <w:fldChar w:fldCharType="end"/>
        </w:r>
      </w:p>
    </w:sdtContent>
  </w:sdt>
  <w:p w:rsidR="00501EFE" w:rsidRDefault="00501EF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D8" w:rsidRDefault="009B38D8" w:rsidP="00501EFE">
      <w:r>
        <w:separator/>
      </w:r>
    </w:p>
  </w:footnote>
  <w:footnote w:type="continuationSeparator" w:id="0">
    <w:p w:rsidR="009B38D8" w:rsidRDefault="009B38D8" w:rsidP="0050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F4" w:rsidRDefault="007544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5110"/>
    <w:multiLevelType w:val="hybridMultilevel"/>
    <w:tmpl w:val="0002C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4D"/>
    <w:rsid w:val="00027770"/>
    <w:rsid w:val="000767BA"/>
    <w:rsid w:val="000B20CE"/>
    <w:rsid w:val="00215F2F"/>
    <w:rsid w:val="002713CE"/>
    <w:rsid w:val="002735C5"/>
    <w:rsid w:val="002B05A7"/>
    <w:rsid w:val="004C2503"/>
    <w:rsid w:val="00501EFE"/>
    <w:rsid w:val="00577C81"/>
    <w:rsid w:val="005B4076"/>
    <w:rsid w:val="00621BF0"/>
    <w:rsid w:val="00683439"/>
    <w:rsid w:val="00690139"/>
    <w:rsid w:val="00690F43"/>
    <w:rsid w:val="00714C35"/>
    <w:rsid w:val="007544F4"/>
    <w:rsid w:val="008A7D4D"/>
    <w:rsid w:val="009B38D8"/>
    <w:rsid w:val="00A24BC0"/>
    <w:rsid w:val="00A25CAE"/>
    <w:rsid w:val="00AB5D4C"/>
    <w:rsid w:val="00B31D91"/>
    <w:rsid w:val="00D51D4A"/>
    <w:rsid w:val="00E66713"/>
    <w:rsid w:val="00ED1082"/>
    <w:rsid w:val="00F5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076"/>
    <w:pPr>
      <w:keepNext/>
      <w:overflowPunct w:val="0"/>
      <w:autoSpaceDE w:val="0"/>
      <w:autoSpaceDN w:val="0"/>
      <w:adjustRightInd w:val="0"/>
      <w:spacing w:line="360" w:lineRule="auto"/>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076"/>
    <w:rPr>
      <w:rFonts w:ascii="Times New Roman" w:eastAsia="Times New Roman" w:hAnsi="Times New Roman" w:cs="Times New Roman"/>
      <w:sz w:val="24"/>
      <w:szCs w:val="20"/>
      <w:lang w:eastAsia="ru-RU"/>
    </w:rPr>
  </w:style>
  <w:style w:type="paragraph" w:styleId="a3">
    <w:name w:val="Body Text"/>
    <w:basedOn w:val="a"/>
    <w:link w:val="a4"/>
    <w:rsid w:val="005B4076"/>
    <w:rPr>
      <w:szCs w:val="20"/>
    </w:rPr>
  </w:style>
  <w:style w:type="character" w:customStyle="1" w:styleId="a4">
    <w:name w:val="Основной текст Знак"/>
    <w:basedOn w:val="a0"/>
    <w:link w:val="a3"/>
    <w:rsid w:val="005B4076"/>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B4076"/>
    <w:rPr>
      <w:rFonts w:ascii="Tahoma" w:hAnsi="Tahoma" w:cs="Tahoma"/>
      <w:sz w:val="16"/>
      <w:szCs w:val="16"/>
    </w:rPr>
  </w:style>
  <w:style w:type="character" w:customStyle="1" w:styleId="a6">
    <w:name w:val="Текст выноски Знак"/>
    <w:basedOn w:val="a0"/>
    <w:link w:val="a5"/>
    <w:uiPriority w:val="99"/>
    <w:semiHidden/>
    <w:rsid w:val="005B4076"/>
    <w:rPr>
      <w:rFonts w:ascii="Tahoma" w:eastAsia="Times New Roman" w:hAnsi="Tahoma" w:cs="Tahoma"/>
      <w:sz w:val="16"/>
      <w:szCs w:val="16"/>
      <w:lang w:eastAsia="ru-RU"/>
    </w:rPr>
  </w:style>
  <w:style w:type="paragraph" w:styleId="a7">
    <w:name w:val="header"/>
    <w:basedOn w:val="a"/>
    <w:link w:val="a8"/>
    <w:uiPriority w:val="99"/>
    <w:unhideWhenUsed/>
    <w:rsid w:val="00501EFE"/>
    <w:pPr>
      <w:tabs>
        <w:tab w:val="center" w:pos="4677"/>
        <w:tab w:val="right" w:pos="9355"/>
      </w:tabs>
    </w:pPr>
  </w:style>
  <w:style w:type="character" w:customStyle="1" w:styleId="a8">
    <w:name w:val="Верхний колонтитул Знак"/>
    <w:basedOn w:val="a0"/>
    <w:link w:val="a7"/>
    <w:uiPriority w:val="99"/>
    <w:rsid w:val="00501EF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01EFE"/>
    <w:pPr>
      <w:tabs>
        <w:tab w:val="center" w:pos="4677"/>
        <w:tab w:val="right" w:pos="9355"/>
      </w:tabs>
    </w:pPr>
  </w:style>
  <w:style w:type="character" w:customStyle="1" w:styleId="aa">
    <w:name w:val="Нижний колонтитул Знак"/>
    <w:basedOn w:val="a0"/>
    <w:link w:val="a9"/>
    <w:uiPriority w:val="99"/>
    <w:rsid w:val="00501E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076"/>
    <w:pPr>
      <w:keepNext/>
      <w:overflowPunct w:val="0"/>
      <w:autoSpaceDE w:val="0"/>
      <w:autoSpaceDN w:val="0"/>
      <w:adjustRightInd w:val="0"/>
      <w:spacing w:line="360" w:lineRule="auto"/>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076"/>
    <w:rPr>
      <w:rFonts w:ascii="Times New Roman" w:eastAsia="Times New Roman" w:hAnsi="Times New Roman" w:cs="Times New Roman"/>
      <w:sz w:val="24"/>
      <w:szCs w:val="20"/>
      <w:lang w:eastAsia="ru-RU"/>
    </w:rPr>
  </w:style>
  <w:style w:type="paragraph" w:styleId="a3">
    <w:name w:val="Body Text"/>
    <w:basedOn w:val="a"/>
    <w:link w:val="a4"/>
    <w:rsid w:val="005B4076"/>
    <w:rPr>
      <w:szCs w:val="20"/>
    </w:rPr>
  </w:style>
  <w:style w:type="character" w:customStyle="1" w:styleId="a4">
    <w:name w:val="Основной текст Знак"/>
    <w:basedOn w:val="a0"/>
    <w:link w:val="a3"/>
    <w:rsid w:val="005B4076"/>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5B4076"/>
    <w:rPr>
      <w:rFonts w:ascii="Tahoma" w:hAnsi="Tahoma" w:cs="Tahoma"/>
      <w:sz w:val="16"/>
      <w:szCs w:val="16"/>
    </w:rPr>
  </w:style>
  <w:style w:type="character" w:customStyle="1" w:styleId="a6">
    <w:name w:val="Текст выноски Знак"/>
    <w:basedOn w:val="a0"/>
    <w:link w:val="a5"/>
    <w:uiPriority w:val="99"/>
    <w:semiHidden/>
    <w:rsid w:val="005B4076"/>
    <w:rPr>
      <w:rFonts w:ascii="Tahoma" w:eastAsia="Times New Roman" w:hAnsi="Tahoma" w:cs="Tahoma"/>
      <w:sz w:val="16"/>
      <w:szCs w:val="16"/>
      <w:lang w:eastAsia="ru-RU"/>
    </w:rPr>
  </w:style>
  <w:style w:type="paragraph" w:styleId="a7">
    <w:name w:val="header"/>
    <w:basedOn w:val="a"/>
    <w:link w:val="a8"/>
    <w:uiPriority w:val="99"/>
    <w:unhideWhenUsed/>
    <w:rsid w:val="00501EFE"/>
    <w:pPr>
      <w:tabs>
        <w:tab w:val="center" w:pos="4677"/>
        <w:tab w:val="right" w:pos="9355"/>
      </w:tabs>
    </w:pPr>
  </w:style>
  <w:style w:type="character" w:customStyle="1" w:styleId="a8">
    <w:name w:val="Верхний колонтитул Знак"/>
    <w:basedOn w:val="a0"/>
    <w:link w:val="a7"/>
    <w:uiPriority w:val="99"/>
    <w:rsid w:val="00501EF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01EFE"/>
    <w:pPr>
      <w:tabs>
        <w:tab w:val="center" w:pos="4677"/>
        <w:tab w:val="right" w:pos="9355"/>
      </w:tabs>
    </w:pPr>
  </w:style>
  <w:style w:type="character" w:customStyle="1" w:styleId="aa">
    <w:name w:val="Нижний колонтитул Знак"/>
    <w:basedOn w:val="a0"/>
    <w:link w:val="a9"/>
    <w:uiPriority w:val="99"/>
    <w:rsid w:val="00501E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ineconomic.sakha.gov.ru/uploads/ckfinder/userfiles/files/2077-%D0%97%20%E2%84%96%2045-VI(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3A68-01C9-4CB9-A903-2764AA2E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Ирина</cp:lastModifiedBy>
  <cp:revision>18</cp:revision>
  <cp:lastPrinted>2019-10-14T06:27:00Z</cp:lastPrinted>
  <dcterms:created xsi:type="dcterms:W3CDTF">2019-10-10T13:10:00Z</dcterms:created>
  <dcterms:modified xsi:type="dcterms:W3CDTF">2019-11-05T05:21:00Z</dcterms:modified>
</cp:coreProperties>
</file>