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FB300B" w:rsidRPr="00FB300B" w:rsidTr="00244F9F">
        <w:trPr>
          <w:trHeight w:val="63"/>
          <w:jc w:val="center"/>
        </w:trPr>
        <w:tc>
          <w:tcPr>
            <w:tcW w:w="4052" w:type="dxa"/>
          </w:tcPr>
          <w:p w:rsidR="00FB300B" w:rsidRPr="00FB300B" w:rsidRDefault="00FB300B" w:rsidP="00FB300B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АЛДАНСКИЙ  РАЙОННЫЙ</w:t>
            </w:r>
          </w:p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</w:t>
            </w:r>
          </w:p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САХА (ЯКУТИЯ)</w:t>
            </w:r>
          </w:p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FB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СОЗЫВА</w:t>
            </w:r>
          </w:p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FB300B" w:rsidRPr="00FB300B" w:rsidRDefault="00FB300B" w:rsidP="00FB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300B" w:rsidRPr="00FB300B" w:rsidRDefault="00FB300B" w:rsidP="00FB300B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FB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FB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FB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АЛДАН  ОРОЙУОНУН</w:t>
            </w:r>
          </w:p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ДЬОКУТААТТАРЫН </w:t>
            </w:r>
          </w:p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СЭБИЭТЭ</w:t>
            </w:r>
          </w:p>
          <w:p w:rsidR="00FB300B" w:rsidRPr="00FB300B" w:rsidRDefault="00FB300B" w:rsidP="00FB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00B" w:rsidRPr="00FB300B" w:rsidRDefault="00FB300B" w:rsidP="00FB3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B300B" w:rsidRPr="00FB300B" w:rsidRDefault="00121EE9" w:rsidP="00FB30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XVI</w:t>
      </w:r>
      <w:r w:rsidR="006B7B0A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="00FB300B" w:rsidRPr="00FB300B">
        <w:rPr>
          <w:rFonts w:ascii="Times New Roman" w:eastAsia="Times New Roman" w:hAnsi="Times New Roman" w:cs="Times New Roman"/>
          <w:b/>
          <w:lang w:eastAsia="ru-RU"/>
        </w:rPr>
        <w:t>-сессия</w:t>
      </w:r>
    </w:p>
    <w:p w:rsidR="00FB300B" w:rsidRPr="00FB300B" w:rsidRDefault="00FB300B" w:rsidP="00FB3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B300B" w:rsidRPr="00FB300B" w:rsidRDefault="00FB300B" w:rsidP="00FB30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300B">
        <w:rPr>
          <w:rFonts w:ascii="Times New Roman" w:eastAsia="Times New Roman" w:hAnsi="Times New Roman" w:cs="Times New Roman"/>
          <w:b/>
          <w:lang w:eastAsia="ru-RU"/>
        </w:rPr>
        <w:t xml:space="preserve">    г. Алдан                                                                                                                    </w:t>
      </w:r>
      <w:r w:rsidR="006B7B0A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="009352F7">
        <w:rPr>
          <w:rFonts w:ascii="Times New Roman" w:eastAsia="Times New Roman" w:hAnsi="Times New Roman" w:cs="Times New Roman"/>
          <w:b/>
          <w:lang w:eastAsia="ru-RU"/>
        </w:rPr>
        <w:t>28 мая</w:t>
      </w:r>
      <w:r w:rsidR="006B7B0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300B">
        <w:rPr>
          <w:rFonts w:ascii="Times New Roman" w:eastAsia="Times New Roman" w:hAnsi="Times New Roman" w:cs="Times New Roman"/>
          <w:b/>
          <w:lang w:eastAsia="ru-RU"/>
        </w:rPr>
        <w:t>201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FB300B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FB300B" w:rsidRPr="00FB300B" w:rsidRDefault="00FB300B" w:rsidP="00FB3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300B" w:rsidRPr="00FB300B" w:rsidRDefault="00FB300B" w:rsidP="00FB3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300B" w:rsidRPr="003E40E3" w:rsidRDefault="00FB300B" w:rsidP="00FB3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№  </w:t>
      </w:r>
      <w:r w:rsidR="00121EE9" w:rsidRPr="0012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B7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21EE9" w:rsidRPr="003E4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35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FB300B" w:rsidRPr="00FB300B" w:rsidRDefault="00FB300B" w:rsidP="00FB3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00B" w:rsidRPr="00FB300B" w:rsidRDefault="00FB300B" w:rsidP="00FB3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ходе исполнения Программы</w:t>
      </w:r>
    </w:p>
    <w:p w:rsidR="00FB300B" w:rsidRPr="00FB300B" w:rsidRDefault="00FB300B" w:rsidP="00FB3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«Социально-экономическое развитие </w:t>
      </w:r>
    </w:p>
    <w:p w:rsidR="00FB300B" w:rsidRPr="00FB300B" w:rsidRDefault="00FB300B" w:rsidP="00FB3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«Алданский район»  </w:t>
      </w:r>
    </w:p>
    <w:p w:rsidR="00FB300B" w:rsidRDefault="00FB300B" w:rsidP="00FB3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2012-2016 годы» 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B3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FB300B" w:rsidRPr="00FB300B" w:rsidRDefault="00FB300B" w:rsidP="00FB3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00B" w:rsidRPr="00FB300B" w:rsidRDefault="00FB300B" w:rsidP="00FB300B">
      <w:pPr>
        <w:spacing w:after="0" w:line="240" w:lineRule="auto"/>
        <w:ind w:left="14" w:firstLine="5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</w:pPr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>Руководствуясь Федеральным законом от 06.10.2003 года № 131-ФЗ "Об общих принципах организации местного самоуправления в Российской Федерации", Указом Президента РС (Я) от 08.05.2011 г. № 635 «О системе планирования социально-экономического развития в Республике Саха (Якутия)»,  Алданский районный Совет депутатов Р</w:t>
      </w:r>
      <w:proofErr w:type="gramStart"/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>С(</w:t>
      </w:r>
      <w:proofErr w:type="gramEnd"/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 xml:space="preserve">Я) </w:t>
      </w:r>
    </w:p>
    <w:p w:rsidR="00FB300B" w:rsidRPr="00FB300B" w:rsidRDefault="00FB300B" w:rsidP="00FB30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ko-KR"/>
        </w:rPr>
      </w:pPr>
      <w:r w:rsidRPr="00FB30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ko-KR"/>
        </w:rPr>
        <w:t>решил:</w:t>
      </w:r>
    </w:p>
    <w:p w:rsidR="00FB300B" w:rsidRPr="00FB300B" w:rsidRDefault="00FB300B" w:rsidP="00FB30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ko-KR"/>
        </w:rPr>
      </w:pPr>
    </w:p>
    <w:p w:rsidR="00FB300B" w:rsidRPr="00FB300B" w:rsidRDefault="00FB300B" w:rsidP="00FB30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ko-KR"/>
        </w:rPr>
      </w:pPr>
    </w:p>
    <w:p w:rsidR="00FB300B" w:rsidRPr="00FB300B" w:rsidRDefault="00FB300B" w:rsidP="00FB300B">
      <w:pPr>
        <w:spacing w:after="0" w:line="240" w:lineRule="auto"/>
        <w:ind w:left="14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</w:pPr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>1. Утвердить отчет «О ходе исполнения Программы «Социально-экономическое развитие МО «Алданский район» на 2012-2016 годы» (далее-Программы) за 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>4</w:t>
      </w:r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 xml:space="preserve"> год», согласно приложению №1 к настоящему решению.</w:t>
      </w:r>
    </w:p>
    <w:p w:rsidR="00FB300B" w:rsidRPr="00FB300B" w:rsidRDefault="00FB300B" w:rsidP="00FB300B">
      <w:pPr>
        <w:spacing w:after="0" w:line="240" w:lineRule="auto"/>
        <w:ind w:left="14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>2</w:t>
      </w:r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 xml:space="preserve">. Утвердить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>фактические объемы финансирования за  2014 год</w:t>
      </w:r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 xml:space="preserve"> в разрезе разделов  и мероприятий Программы, согласно приложению №</w:t>
      </w:r>
      <w:r w:rsidR="00311E4E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>2</w:t>
      </w:r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 xml:space="preserve"> к настоящему решению</w:t>
      </w:r>
      <w:r w:rsidR="00311E4E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>.</w:t>
      </w:r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 xml:space="preserve"> </w:t>
      </w:r>
    </w:p>
    <w:p w:rsidR="00FB300B" w:rsidRPr="00FB300B" w:rsidRDefault="00FB300B" w:rsidP="00FB300B">
      <w:pPr>
        <w:spacing w:after="0" w:line="240" w:lineRule="auto"/>
        <w:ind w:left="14" w:firstLine="5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</w:pPr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>4. Принять к сведению исполнение отдельных показателей в виде  целевых индикаторов, характеризующих результат реализации программных мероприятий, согласно Приложению №</w:t>
      </w:r>
      <w:r w:rsidR="00311E4E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>3</w:t>
      </w:r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 xml:space="preserve"> к настоящему решению. </w:t>
      </w:r>
    </w:p>
    <w:p w:rsidR="00FB300B" w:rsidRPr="00FB300B" w:rsidRDefault="00FB300B" w:rsidP="00FB300B">
      <w:pPr>
        <w:spacing w:after="0" w:line="240" w:lineRule="auto"/>
        <w:ind w:left="14" w:firstLine="5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ko-KR"/>
        </w:rPr>
      </w:pPr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 xml:space="preserve">5. Настоящее </w:t>
      </w:r>
      <w:r w:rsidRPr="00FB300B">
        <w:rPr>
          <w:rFonts w:ascii="Times New Roman" w:eastAsia="Times New Roman" w:hAnsi="Times New Roman" w:cs="Times New Roman"/>
          <w:sz w:val="24"/>
          <w:szCs w:val="24"/>
          <w:lang w:val="x-none" w:eastAsia="ko-KR"/>
        </w:rPr>
        <w:t>решение опубликовать в информационно-аналитической газете «Муниципальный вестник Алданского района» и разместить на официальном сайте муниципального образования «Алданский район» в глобальной сети Интернет.</w:t>
      </w:r>
    </w:p>
    <w:p w:rsidR="00FB300B" w:rsidRPr="00FB300B" w:rsidRDefault="00FB300B" w:rsidP="00FB3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</w:pPr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 xml:space="preserve">6. </w:t>
      </w:r>
      <w:proofErr w:type="gramStart"/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>Контроль за</w:t>
      </w:r>
      <w:proofErr w:type="gramEnd"/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 xml:space="preserve"> исполнением настоящего решения возложить на комиссию по экономике и бюджету (</w:t>
      </w:r>
      <w:proofErr w:type="spellStart"/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>Щербенок</w:t>
      </w:r>
      <w:proofErr w:type="spellEnd"/>
      <w:r w:rsidRPr="00FB300B"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  <w:t xml:space="preserve"> Н.Г.).</w:t>
      </w:r>
    </w:p>
    <w:p w:rsidR="00FB300B" w:rsidRPr="00FB300B" w:rsidRDefault="00FB300B" w:rsidP="00FB3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</w:pPr>
    </w:p>
    <w:p w:rsidR="00FB300B" w:rsidRPr="00FB300B" w:rsidRDefault="00FB300B" w:rsidP="00FB3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ko-KR"/>
        </w:rPr>
      </w:pPr>
    </w:p>
    <w:p w:rsidR="00FB300B" w:rsidRPr="00FB300B" w:rsidRDefault="00FB300B" w:rsidP="00FB3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0E3" w:rsidRDefault="00FB300B" w:rsidP="00FB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Алданского </w:t>
      </w:r>
      <w:proofErr w:type="gramStart"/>
      <w:r w:rsidRPr="00FB3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proofErr w:type="gramEnd"/>
    </w:p>
    <w:p w:rsidR="00FB300B" w:rsidRPr="00FB300B" w:rsidRDefault="00FB300B" w:rsidP="00FB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 депутатов РС (Я):   </w:t>
      </w:r>
      <w:r w:rsidR="003E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FB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С. А. Тимофеев</w:t>
      </w:r>
    </w:p>
    <w:p w:rsidR="00FB300B" w:rsidRPr="00FB300B" w:rsidRDefault="00FB300B" w:rsidP="00FB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0B" w:rsidRPr="00FB300B" w:rsidRDefault="00FB300B" w:rsidP="00FB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0B" w:rsidRPr="00FB300B" w:rsidRDefault="00FB300B" w:rsidP="00FB300B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B300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Глава МО «Алданский район»:                                                                       С. Н. Поздняков      </w:t>
      </w:r>
    </w:p>
    <w:p w:rsidR="00FB300B" w:rsidRPr="00FB300B" w:rsidRDefault="00FB300B" w:rsidP="00FB300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B300B" w:rsidRPr="00FB300B" w:rsidRDefault="00FB300B" w:rsidP="00FB300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B300B" w:rsidRPr="00FB300B" w:rsidRDefault="00FB300B" w:rsidP="00FB300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B300B" w:rsidRPr="00FB300B" w:rsidRDefault="00FB300B" w:rsidP="00FB300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7567C" w:rsidRDefault="0017567C" w:rsidP="00175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67C" w:rsidRPr="0017567C" w:rsidRDefault="0017567C" w:rsidP="00175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17567C" w:rsidRPr="0017567C" w:rsidRDefault="0017567C" w:rsidP="00175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Алданского </w:t>
      </w:r>
      <w:proofErr w:type="gramStart"/>
      <w:r w:rsidRPr="0017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proofErr w:type="gramEnd"/>
    </w:p>
    <w:p w:rsidR="0017567C" w:rsidRPr="0017567C" w:rsidRDefault="0017567C" w:rsidP="00175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РС(Я) №</w:t>
      </w:r>
      <w:r w:rsidR="0036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17-5 </w:t>
      </w:r>
      <w:r w:rsidRPr="001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28.05.2015 </w:t>
      </w:r>
      <w:bookmarkStart w:id="0" w:name="_GoBack"/>
      <w:bookmarkEnd w:id="0"/>
      <w:r w:rsidRPr="0017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:rsidR="0017567C" w:rsidRPr="0017567C" w:rsidRDefault="0017567C" w:rsidP="0017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67C" w:rsidRPr="0017567C" w:rsidRDefault="0017567C" w:rsidP="0017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17567C" w:rsidRPr="0017567C" w:rsidRDefault="0017567C" w:rsidP="0017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ходе реализации программы Социально-экономического развития</w:t>
      </w:r>
    </w:p>
    <w:p w:rsidR="0017567C" w:rsidRPr="0017567C" w:rsidRDefault="0017567C" w:rsidP="0017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 «Алданский район»  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7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E7160" w:rsidRPr="00AE7160" w:rsidRDefault="00AE7160" w:rsidP="00AE7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160" w:rsidRPr="00AE7160" w:rsidRDefault="00AE7160" w:rsidP="00AE7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E7160" w:rsidRPr="00AE7160" w:rsidRDefault="00AE7160" w:rsidP="00AE7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программы СЭР</w:t>
      </w: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Программа социально-экономического развития Муниципального образования  «Алданский район» Республики Саха (Якутия)   на  2012-2016  годы.</w:t>
      </w:r>
    </w:p>
    <w:p w:rsidR="00AE7160" w:rsidRPr="00AE7160" w:rsidRDefault="00AE7160" w:rsidP="00AE7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рассмотрения</w:t>
      </w: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Экономическом совете при Правительстве РС (Я) – 27  марта 2013 года.</w:t>
      </w:r>
    </w:p>
    <w:p w:rsidR="00AE7160" w:rsidRPr="00AE7160" w:rsidRDefault="00AE7160" w:rsidP="00AE7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программы</w:t>
      </w: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Администрация МО  «Алданский район».</w:t>
      </w:r>
    </w:p>
    <w:p w:rsidR="00AE7160" w:rsidRPr="00AE7160" w:rsidRDefault="00AE7160" w:rsidP="00AE7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</w:t>
      </w: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– 2012 - 2016 годы.</w:t>
      </w:r>
    </w:p>
    <w:p w:rsidR="00AE7160" w:rsidRPr="00AE7160" w:rsidRDefault="00AE7160" w:rsidP="00AE7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программы:</w:t>
      </w:r>
    </w:p>
    <w:p w:rsidR="00AE7160" w:rsidRPr="00AE7160" w:rsidRDefault="00AE7160" w:rsidP="00AE71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160">
        <w:rPr>
          <w:rFonts w:ascii="Times New Roman" w:eastAsia="Times New Roman" w:hAnsi="Times New Roman" w:cs="Times New Roman"/>
          <w:lang w:eastAsia="ru-RU"/>
        </w:rPr>
        <w:t xml:space="preserve">            Основной целью программы социально-экономического развития Муниципального образования  «Алданский район» является создание условий для повышения качества жизни населения муниципального района.</w:t>
      </w:r>
    </w:p>
    <w:p w:rsidR="00AE7160" w:rsidRPr="00AE7160" w:rsidRDefault="00AE7160" w:rsidP="00AE7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E7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</w:t>
      </w:r>
    </w:p>
    <w:p w:rsidR="00AE7160" w:rsidRPr="00AE7160" w:rsidRDefault="00AE7160" w:rsidP="00AE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-  Создание благоприятного инвестиционного и предпринимательского климата;</w:t>
      </w:r>
    </w:p>
    <w:p w:rsidR="00AE7160" w:rsidRPr="00AE7160" w:rsidRDefault="00AE7160" w:rsidP="00AE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-  Формирование благоприятного социального климата для деятельности и здорового образа жизни населения;</w:t>
      </w:r>
    </w:p>
    <w:p w:rsidR="00AE7160" w:rsidRPr="00AE7160" w:rsidRDefault="00AE7160" w:rsidP="00AE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 Реформирование промышленности для повышения ее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диверсифицированности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AE7160" w:rsidRPr="00AE7160" w:rsidRDefault="00AE7160" w:rsidP="00AE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-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продовольствия. Развитие отраслей, ориентированных на обеспечение эффективного функционирования агропромышленного комплекса и глубокую переработку сельскохозяйственной продукции, в целях производства конкурентоспособных товаров;</w:t>
      </w:r>
    </w:p>
    <w:p w:rsidR="00AE7160" w:rsidRPr="00AE7160" w:rsidRDefault="00AE7160" w:rsidP="00AE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- Создание условий для предоставления транспортных услуг населению и организация транспортного обслуживания населения между поселениями. Дорожная деятельность в отношении автомобильных дорог местного значения вне границ населенных пунктов;</w:t>
      </w:r>
    </w:p>
    <w:p w:rsidR="00AE7160" w:rsidRPr="00AE7160" w:rsidRDefault="00AE7160" w:rsidP="00AE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-  Развитие инфраструктуры связи, доступа к современным информационным технологиям;</w:t>
      </w:r>
    </w:p>
    <w:p w:rsidR="00AE7160" w:rsidRPr="00AE7160" w:rsidRDefault="00AE7160" w:rsidP="00AE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-  Обеспечение бесперебойной работы жилищно-коммунального хозяйства;</w:t>
      </w:r>
    </w:p>
    <w:p w:rsidR="00AE7160" w:rsidRPr="00AE7160" w:rsidRDefault="00AE7160" w:rsidP="00AE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- Развитие жилищного строительства. Организация строительства и содержания муниципального жилищного фонда, создание условий для жилищного строительства, обеспечение малоимущих граждан, нуждающихся в улучшении жилищных условий, жилыми помещениями;</w:t>
      </w:r>
    </w:p>
    <w:p w:rsidR="00AE7160" w:rsidRPr="00AE7160" w:rsidRDefault="00AE7160" w:rsidP="00AE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-  Создание условий по эффективному управлению земельно-имущественным комплексом;</w:t>
      </w:r>
    </w:p>
    <w:p w:rsidR="00AE7160" w:rsidRPr="00AE7160" w:rsidRDefault="00AE7160" w:rsidP="00AE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-  Создание условий для развития туризма;</w:t>
      </w:r>
    </w:p>
    <w:p w:rsidR="00AE7160" w:rsidRPr="00AE7160" w:rsidRDefault="00AE7160" w:rsidP="00AE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-  Оздоровление экологии и предупреждение чрезвычайных ситуаций;</w:t>
      </w:r>
    </w:p>
    <w:p w:rsidR="00AE7160" w:rsidRPr="00AE7160" w:rsidRDefault="00AE7160" w:rsidP="00AE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- Обеспечение финансовой устойчивости. Увеличение налогооблагаемой базы  за счет реализации программы «Комплексного развития Южной Якутии» и дальнейшего развития золотодобывающих предприятий.</w:t>
      </w:r>
    </w:p>
    <w:p w:rsidR="00AE7160" w:rsidRPr="00AE7160" w:rsidRDefault="00AE7160" w:rsidP="00AE7160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-   Развитие межрайонных связей муниципального района в сфере экономики и культуры.</w:t>
      </w:r>
    </w:p>
    <w:p w:rsidR="00AE7160" w:rsidRPr="00AE7160" w:rsidRDefault="00AE7160" w:rsidP="00AE7160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E7160" w:rsidRPr="00AE7160" w:rsidRDefault="00AE7160" w:rsidP="00AE7160">
      <w:pPr>
        <w:widowControl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E7160" w:rsidRPr="00AE7160" w:rsidRDefault="00AE7160" w:rsidP="00AE7160">
      <w:pPr>
        <w:widowControl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E7160" w:rsidRPr="00AE7160" w:rsidRDefault="00AE7160" w:rsidP="00AE7160">
      <w:pPr>
        <w:widowControl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E7160" w:rsidRPr="00AE7160" w:rsidRDefault="00AE7160" w:rsidP="00AE7160">
      <w:pPr>
        <w:widowControl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E7160" w:rsidRPr="00AE7160" w:rsidRDefault="00AE7160" w:rsidP="00AE7160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Результаты хода выполнения мероприятий программы СЭР за 2014 год</w:t>
      </w:r>
    </w:p>
    <w:p w:rsidR="00AE7160" w:rsidRPr="00AE7160" w:rsidRDefault="00AE7160" w:rsidP="00AE7160">
      <w:pPr>
        <w:widowControl w:val="0"/>
        <w:spacing w:after="0" w:line="24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В ходе  реализации программы СЭР в 2014 году достигнуты определенные результаты в различных сферах экономики района. Общая сумма  финансирования Программы за истекший год составила  4108,3 млн. рублей, при этом основная часть средств была направлена на капитальные расходы  в сумме 3708,9 млн. рублей,  объем текущих расходов составил – 399,4 млн. рублей.</w:t>
      </w:r>
    </w:p>
    <w:p w:rsidR="00AE7160" w:rsidRPr="00AE7160" w:rsidRDefault="00AE7160" w:rsidP="00AE7160">
      <w:pPr>
        <w:widowControl w:val="0"/>
        <w:spacing w:after="0" w:line="24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E7160" w:rsidRPr="00AE7160" w:rsidRDefault="00AE7160" w:rsidP="00AE7160">
      <w:pPr>
        <w:widowControl w:val="0"/>
        <w:spacing w:after="0" w:line="360" w:lineRule="auto"/>
        <w:ind w:left="360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1.1 Анализ выполнения в 2014 году по статье «капитальные вложения»</w:t>
      </w:r>
    </w:p>
    <w:p w:rsidR="00AE7160" w:rsidRPr="00AE7160" w:rsidRDefault="00AE7160" w:rsidP="00AE7160">
      <w:pPr>
        <w:widowControl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Промышленность.</w:t>
      </w: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AE7160" w:rsidRPr="00AE7160" w:rsidRDefault="00AE7160" w:rsidP="00AE7160">
      <w:pPr>
        <w:widowControl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Раздел «Промышленность» представлен в Программе СЭР мероприятиями, связанными с развитием золотодобывающей отрасли, участниками реализации, которых является ряд крупных предприятий района: ОАО «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Алданзолото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ГРК», ЗАО ГДК «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Алдголд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», холдинг «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Селигдар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».</w:t>
      </w:r>
    </w:p>
    <w:p w:rsidR="00AE7160" w:rsidRPr="00AE7160" w:rsidRDefault="00AE7160" w:rsidP="00AE7160">
      <w:pPr>
        <w:widowControl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Инвестиционные проекты на вышеназванных предприятиях  реализуются за счет собственных средств, объем финансирования, которых составил в текущем году 177,2 млн. рублей. В свою очередь, в 2014 году планировалось вложить средств в размере 300,9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млн</w:t>
      </w:r>
      <w:proofErr w:type="gram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.р</w:t>
      </w:r>
      <w:proofErr w:type="gram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уб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., то есть объем реализации проектов осуществился на 58,9 %. Такая ситуация объясняется воздействием последствий событий 2013 года, в котором </w:t>
      </w: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произошло резкое падение цены  на золото, приведшее к негативному влиянию на развитие золотодобывающей отрасли как в целом, так и в частности на финансовые затруднения предприятий золотодобычи Алданского района.</w:t>
      </w: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AE7160" w:rsidRPr="00AE7160" w:rsidRDefault="00AE7160" w:rsidP="00AE71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В 2014 году в компании ЗАО ГДК «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Алдголд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» инвестиционная деятельность была направлена на модернизацию драги № 135, осуществлены строительно-монтажные работы на драге № 401 и  линии электропередач 6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кВ.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Общая сумма вложений по предприятию составила 170,5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млн</w:t>
      </w:r>
      <w:proofErr w:type="gram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.р</w:t>
      </w:r>
      <w:proofErr w:type="gram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уб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AE7160" w:rsidRPr="00AE7160" w:rsidRDefault="00AE7160" w:rsidP="00AE7160">
      <w:pPr>
        <w:widowControl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Горнорудной компанией ОАО «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Алданзолото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» по программе развития производства была предусмотрена задача по корректировке проектной документации по проекту «Расширение производства по добыче и переработке руд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Куранахского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рудного поля» с плановым финансированием 2,4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млн</w:t>
      </w:r>
      <w:proofErr w:type="gram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.р</w:t>
      </w:r>
      <w:proofErr w:type="gram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уб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Данная задача была выполнена с фактическими затратами в 0,96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млн.руб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. Что касается, инвестиционных проектов холдинга «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Селигдар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», то вся деятельность в текущем году была направлена на закуп оборудования  для  месторождений «Рябиновое» и «Лунное» в размере 5,8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млн</w:t>
      </w:r>
      <w:proofErr w:type="gram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.р</w:t>
      </w:r>
      <w:proofErr w:type="gram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уб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 </w:t>
      </w:r>
    </w:p>
    <w:p w:rsidR="00AE7160" w:rsidRPr="00AE7160" w:rsidRDefault="00AE7160" w:rsidP="00AE7160">
      <w:pPr>
        <w:widowControl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E7160" w:rsidRPr="00AE7160" w:rsidRDefault="00AE7160" w:rsidP="00AE7160">
      <w:pPr>
        <w:widowControl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Сельское хозяйство.</w:t>
      </w:r>
    </w:p>
    <w:p w:rsidR="00AE7160" w:rsidRPr="00AE7160" w:rsidRDefault="00AE7160" w:rsidP="00AE7160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ab/>
      </w: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Раздел «Сельское хозяйство» представлен в программе СЭР мероприятиями, связанными с развитием животноводства, растениеводства, табунного коневодства, оленеводства.  </w:t>
      </w:r>
    </w:p>
    <w:p w:rsidR="00AE7160" w:rsidRPr="00AE7160" w:rsidRDefault="00AE7160" w:rsidP="00AE71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представителями, исполняющими  мероприятия Программы, являются ООО «</w:t>
      </w:r>
      <w:proofErr w:type="spellStart"/>
      <w:r w:rsidRPr="00AE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Алданское</w:t>
      </w:r>
      <w:proofErr w:type="spellEnd"/>
      <w:r w:rsidRPr="00AE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Агропромышленное предприятие», ООО «Совхоз Пятилетка», оленеводческо-промысловое хозяйство ОАО КМНС «</w:t>
      </w:r>
      <w:proofErr w:type="spellStart"/>
      <w:r w:rsidRPr="00AE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Хатыстыр</w:t>
      </w:r>
      <w:proofErr w:type="spellEnd"/>
      <w:r w:rsidRPr="00AE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E7160" w:rsidRPr="00AE7160" w:rsidRDefault="00AE7160" w:rsidP="00AE7160">
      <w:pPr>
        <w:widowControl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собственных средств в 2014 год</w:t>
      </w:r>
      <w:proofErr w:type="gramStart"/>
      <w:r w:rsidRPr="00AE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ООО</w:t>
      </w:r>
      <w:proofErr w:type="gramEnd"/>
      <w:r w:rsidRPr="00AE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E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Алданское</w:t>
      </w:r>
      <w:proofErr w:type="spellEnd"/>
      <w:r w:rsidRPr="00AE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Агропромышленное предприятие» приобрело в Алтайском крае 55 голов нетелей молочной породы, в связи с этим был построен коровник. Завершается монтаж модульного цеха по выпуску </w:t>
      </w:r>
      <w:proofErr w:type="gramStart"/>
      <w:r w:rsidRPr="00AE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кисло-молочной</w:t>
      </w:r>
      <w:proofErr w:type="gramEnd"/>
      <w:r w:rsidRPr="00AE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продукции.</w:t>
      </w:r>
    </w:p>
    <w:p w:rsidR="00AE7160" w:rsidRPr="00AE7160" w:rsidRDefault="00AE7160" w:rsidP="00AE7160">
      <w:pPr>
        <w:widowControl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E7160" w:rsidRPr="00AE7160" w:rsidRDefault="00AE7160" w:rsidP="00AE71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 и дорожное хозяйство.</w:t>
      </w:r>
    </w:p>
    <w:p w:rsidR="00AE7160" w:rsidRPr="00AE7160" w:rsidRDefault="00AE7160" w:rsidP="00AE71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«Транспорт и дорожное хозяйство» представлен в Программе СЭР  мероприятиями, связанными с развитием железнодорожного,  автомобильного транспорта и дорожного хозяйства.</w:t>
      </w:r>
    </w:p>
    <w:p w:rsidR="00AE7160" w:rsidRPr="00AE7160" w:rsidRDefault="00AE7160" w:rsidP="00AE71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участниками программы, реализующими  вышеназванные мероприятия, являются: ОАО АК «Железные дороги Якутии», ФКУ ДСД «Дальний Восток», </w:t>
      </w:r>
      <w:proofErr w:type="gram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АР</w:t>
      </w:r>
      <w:proofErr w:type="gram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«АПП», администрации района и поселений. Общий объем средств по данному разделу составил 2,6 млрд. рублей, в том числе капитальные расходы – 2,3 млрд. рублей</w:t>
      </w:r>
    </w:p>
    <w:p w:rsidR="00AE7160" w:rsidRPr="00AE7160" w:rsidRDefault="00AE7160" w:rsidP="00AE7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предприятием ОАО АК «Железные дороги Якутии» было осуществлено финансирование на приобретение средств обслуживания инфраструктуры, офисного и специального оборудования, а именно, был произведен закуп специально оборудованного специализированного железнодорожного вагона для организации служебных, комиссионных и других выездов, на сумму 18,6  млн. рублей, что выше планового показателя на 24%.  На реализацию мероприятия «Обустройство КПП электрическим шлагбаумом и электромеханическим блокиратором» было</w:t>
      </w:r>
      <w:proofErr w:type="gram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выделено 0,26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пополнение и модернизацию эксплуатационного парка локомотивов и вагонов было предусмотрено средств в объеме 70,9 млн. рублей, но в связи с невыполнением поставщиками договорных обязательств сроки модернизации перенесены на 2015 год. Касаемо приобретения двух восстановительных вагонов и двух пожарных поездов, а также строительства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периметровых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ограждений, то в связи с заморозкой индексации тарифов и сокращением инвестиционных вложений данные мероприятия в 2014 году не осуществлялись. </w:t>
      </w:r>
    </w:p>
    <w:p w:rsidR="00AE7160" w:rsidRPr="00AE7160" w:rsidRDefault="00AE7160" w:rsidP="00AE7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ФКУ ДСД «Дальний Восток» проведены работы по реконструкции участков автомобильной  федеральной дороги М-56 «Лена», расположенных на территории Алданского района в объеме 2,3 млрд. рублей, при этом реконструировано </w:t>
      </w:r>
      <w:smartTag w:uri="urn:schemas-microsoft-com:office:smarttags" w:element="metricconverter">
        <w:smartTagPr>
          <w:attr w:name="ProductID" w:val="45,05 км"/>
        </w:smartTagPr>
        <w:r w:rsidRPr="00AE71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45,05 км</w:t>
        </w:r>
      </w:smartTag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трассы, а также 145,61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мостов.</w:t>
      </w:r>
    </w:p>
    <w:p w:rsidR="00AE7160" w:rsidRPr="00AE7160" w:rsidRDefault="00AE7160" w:rsidP="00AE7160">
      <w:pPr>
        <w:spacing w:after="0" w:line="240" w:lineRule="auto"/>
        <w:ind w:firstLine="405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2014 году в рамках реализации муниципальной программы осуществлена  закупка  трех автобусов: ПАЗ 4234- 2 ед.,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ЛиАЗ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5256 (118 мест) – 1 ед. для  МУП АР «АПП» в размере 8 млн. руб., в целях улучшения качества транспортного обслуживания населения муниципального образования. </w:t>
      </w:r>
    </w:p>
    <w:p w:rsidR="00AE7160" w:rsidRPr="00AE7160" w:rsidRDefault="00AE7160" w:rsidP="00AE7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 исполнения собственных полномочий по содержанию и ремонту межселенных дорог, администрацией района ежегодно в районном бюджете предусматриваются  денежные средства. </w:t>
      </w:r>
    </w:p>
    <w:p w:rsidR="00AE7160" w:rsidRPr="00AE7160" w:rsidRDefault="00AE7160" w:rsidP="00AE7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проводились мероприятия по содержанию и ремонту автомобильных дорог  общего пользования местного значения вне границ поселений, а именно: Томмот-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Ыллымах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Алдан –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Якокут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Орочен – Лебединый, Нижний Куранах –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Хатыстыр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Кроме этого осуществлялось содержание автозимника Нижний Куранах –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Угоян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подъездов к селам Чагда и Кутана.  </w:t>
      </w:r>
    </w:p>
    <w:p w:rsidR="00AE7160" w:rsidRPr="00AE7160" w:rsidRDefault="00AE7160" w:rsidP="00AE7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период 2014 года был проведен ремонт (восстановление дорожной одежды)  автодороги Томмот –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Ыллымах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протяженностью </w:t>
      </w:r>
      <w:smartTag w:uri="urn:schemas-microsoft-com:office:smarttags" w:element="metricconverter">
        <w:smartTagPr>
          <w:attr w:name="ProductID" w:val="2 км"/>
        </w:smartTagPr>
        <w:r w:rsidRPr="00AE71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км</w:t>
        </w:r>
      </w:smartTag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Нижний Куранах –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Хатыстыр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-1 км"/>
        </w:smartTagPr>
        <w:r w:rsidRPr="00AE71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-1 км</w:t>
        </w:r>
      </w:smartTag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автодороги Алдан –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Якокут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протяженностью </w:t>
      </w:r>
      <w:smartTag w:uri="urn:schemas-microsoft-com:office:smarttags" w:element="metricconverter">
        <w:smartTagPr>
          <w:attr w:name="ProductID" w:val="1 км"/>
        </w:smartTagPr>
        <w:r w:rsidRPr="00AE71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км</w:t>
        </w:r>
      </w:smartTag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этого была смонтирована водопропускная труба на автодороге Томмот –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Ыллымах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взамен старого деревянного моста.</w:t>
      </w:r>
    </w:p>
    <w:p w:rsidR="00AE7160" w:rsidRPr="00AE7160" w:rsidRDefault="00AE7160" w:rsidP="00AE7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июле 2014 года был разыгран двухлетний контракт на капитальный ремонт автодороги Алдан - Ленинский протяженностью 1913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 на общую сумму более 36 млн. руб. Подрядной организацией выступило МУП Алданского района «Алданские пассажирские перевозки». В соответствии с контрактом был произведен капитальный ремонт участка автодороги протяженностью </w:t>
      </w:r>
      <w:smartTag w:uri="urn:schemas-microsoft-com:office:smarttags" w:element="metricconverter">
        <w:smartTagPr>
          <w:attr w:name="ProductID" w:val="530 м"/>
        </w:smartTagPr>
        <w:r w:rsidRPr="00AE71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530 м</w:t>
        </w:r>
      </w:smartTag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2015 году капитальный ремонт автодороги Алдан – Ленинский будет полностью завершен.</w:t>
      </w:r>
    </w:p>
    <w:p w:rsidR="00AE7160" w:rsidRPr="00AE7160" w:rsidRDefault="00AE7160" w:rsidP="00AE7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160" w:rsidRPr="00AE7160" w:rsidRDefault="00AE7160" w:rsidP="00AE7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Предпринимательство</w:t>
      </w:r>
    </w:p>
    <w:p w:rsidR="00AE7160" w:rsidRPr="00AE7160" w:rsidRDefault="00AE7160" w:rsidP="00AE7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на  территории  района инфраструктурных объектов, способствующих развитию предпринимательства, в 2014 году подходит к завершению </w:t>
      </w: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строительство бизнес-инкубатора в г. Алдан ( здание возведено полностью, остались внутренние работы). Ввод в эксплуатацию намечен на начало 2015 года. Объем финансирования данного объекта составил 12,5  млн. рублей, в том числе федеральный бюджет- 9,2 млн. руб., государственный бюджет РС (Я) – 2,2 млн. рублей, бюджет МО «Алданский район» - 1 млн. рублей.</w:t>
      </w:r>
    </w:p>
    <w:p w:rsidR="00AE7160" w:rsidRPr="00AE7160" w:rsidRDefault="00AE7160" w:rsidP="00AE7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160" w:rsidRPr="00AE7160" w:rsidRDefault="00AE7160" w:rsidP="00AE7160">
      <w:pPr>
        <w:widowControl w:val="0"/>
        <w:spacing w:after="0" w:line="240" w:lineRule="auto"/>
        <w:ind w:firstLine="405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Физкультура и спорт.</w:t>
      </w: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AE7160" w:rsidRPr="00AE7160" w:rsidRDefault="00AE7160" w:rsidP="00AE7160">
      <w:pPr>
        <w:widowControl w:val="0"/>
        <w:spacing w:after="0" w:line="240" w:lineRule="auto"/>
        <w:ind w:firstLine="405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2014 году в целях благоустройства территории Центра подготовки лыжников в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г.Алдан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был заключен контракт с ООО «Немецкие технологии» (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г.Иркутск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) на  выполнение работ по асфальтированию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лыжероллерной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трассы и стрельбища. Работы выполнены в полном объеме на сумму 16,3 млн. рублей. </w:t>
      </w:r>
    </w:p>
    <w:p w:rsidR="00AE7160" w:rsidRPr="00AE7160" w:rsidRDefault="00AE7160" w:rsidP="00AE7160">
      <w:pPr>
        <w:widowControl w:val="0"/>
        <w:spacing w:after="0" w:line="240" w:lineRule="auto"/>
        <w:ind w:firstLine="405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E7160" w:rsidRPr="00AE7160" w:rsidRDefault="00AE7160" w:rsidP="00AE7160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ЖКХ, энергетика.</w:t>
      </w: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160" w:rsidRPr="00AE7160" w:rsidRDefault="00AE7160" w:rsidP="00AE7160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мероприятий Программы СЭР по разделу «ЖКХ и энергетика» участвуют такие крупные предприятия как ГУП ЖКХ РС (Я), ООО «Теплоэнергосервис»,  ОАО «ДРСК» и администрации района и поселений.</w:t>
      </w:r>
    </w:p>
    <w:p w:rsidR="00AE7160" w:rsidRPr="00AE7160" w:rsidRDefault="00AE7160" w:rsidP="00AE7160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2013 году ГУП ЖКХ РС (Я) была построена «Центральная» котельная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мкрн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Солнечный г. Алдан. В 2014 году были произведены окончательные работы на данном объекте с прокладкой новых инженерных сетей и реконструкцией старых, общей стоимостью на 40,4 млн. руб. </w:t>
      </w:r>
    </w:p>
    <w:p w:rsidR="00AE7160" w:rsidRPr="00AE7160" w:rsidRDefault="00AE7160" w:rsidP="00AE7160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Инвестиционной программой Республики Саха (Якутия) в 2014 году предусмотрено выделение субсидии ГУП ЖКХ РС (Я) из безвозмездных поступлений от негосударственных организаций на строительство котельной «Квартальная» и инженерных сетей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мкрн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Солнечный г. Алдан. Взамен котельной МК-154, котельная запущена в сентябре 2014 года. Объем освоенных средств при строительстве данного объекта составил 139,9 млн. рублей из планируемых 149,9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Остались не законченными работы по наружному электроснабжению, установке неподвижных опор, лестниц, площадок на переходах; а также работы по благоустройству и ограждению территории котельной.</w:t>
      </w:r>
    </w:p>
    <w:p w:rsidR="00AE7160" w:rsidRPr="00AE7160" w:rsidRDefault="00AE7160" w:rsidP="00AE7160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 субсидирование ГУП ЖКХ РС(Я) из инвестиционной программы Республики Саха (Якутия) на реконструкцию котельной КМТ и инженерных сетей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п.Верхний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Куранах Алданского района. Расход субсидии ГУП ЖКХ РС (Я) вместе с собственными затратами ОАО «Теплоэнергосервис» по данному мероприятию составил 27,5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расходов является замена участков магистральных сетей, реконструкция котлов с запуском их в эксплуатацию. Однако не произведен монтаж дополнительного модуля для увеличения мощности котельной.</w:t>
      </w:r>
    </w:p>
    <w:p w:rsidR="00AE7160" w:rsidRPr="00AE7160" w:rsidRDefault="00AE7160" w:rsidP="00AE7160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п. Ленинский  предприятием ОАО «Теплоэнергосервис» была смонтирована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-модульная котельная МКУ-14, проведена работа по монтажу сетей первого контура с обустройством тепловых пунктов ТП-1 и ТП-2, размер финансирования которых составил 189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данных мероприятий позволило ликвидировать 4-е существующие котельные (Больница, Детский сад, Школьная, Центральная пос. Ленинский).</w:t>
      </w:r>
    </w:p>
    <w:p w:rsidR="00AE7160" w:rsidRPr="00AE7160" w:rsidRDefault="00AE7160" w:rsidP="00AE7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2014 году предприятием ОАО «Теплоэнергосервис» осуществлялась закупка котлов, насосов, вентиляторов, циклонов, дымососов, теплообменного оборудования для котельных на сумму 27,3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проведение модернизации котельных было израсходовано 5,7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заключалась в установке пожарной сигнализации и  обеспечении резервными источниками питания на трех котельных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п.Чагда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двух котельных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п.Кутана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двух тепловых пунктах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п.Нижний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Куранах. </w:t>
      </w:r>
    </w:p>
    <w:p w:rsidR="00AE7160" w:rsidRPr="00AE7160" w:rsidRDefault="00AE7160" w:rsidP="00AE7160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  <w:t>На капитальный ремонт жилищного фонда  бюджетами поселений было использовано  19,3 млн. рублей. По данным поселений в 2014 году  были осуществлены общестроительные и  сантехнические работы в 5 домах, замена кровли в 7 домах, а также частичный ремонт 14 муниципальных квартир (замена радиаторов, замена полов).</w:t>
      </w:r>
    </w:p>
    <w:p w:rsidR="00AE7160" w:rsidRPr="00AE7160" w:rsidRDefault="00AE7160" w:rsidP="00AE7160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ab/>
        <w:t xml:space="preserve">В области энергетики в 2014 году ОАО «ДРСК» реализованы мероприятия инвестиционной программы вышеназванного предприятия в объеме 246,7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млн.руб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., при этом объем денежных средств в текущем году снизился по сравнению с прошлогодним показателем на 21,5 % . Значительная часть  средств (63%) израсходована на техническое перевооружение и реконструкцию электролиний и подстанций. </w:t>
      </w:r>
    </w:p>
    <w:p w:rsidR="00AE7160" w:rsidRPr="00AE7160" w:rsidRDefault="00AE7160" w:rsidP="00AE7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В рамках реализации муниципальной программы «Энергосбережение и повышение энергетической эффективности МО «Алданский район» РС(Я) на 2012-</w:t>
      </w:r>
      <w:smartTag w:uri="urn:schemas-microsoft-com:office:smarttags" w:element="metricconverter">
        <w:smartTagPr>
          <w:attr w:name="ProductID" w:val="2015 г"/>
        </w:smartTagPr>
        <w:r w:rsidRPr="00AE7160">
          <w:rPr>
            <w:rFonts w:ascii="Times New Roman" w:eastAsia="TimesNewRomanPSMT" w:hAnsi="Times New Roman" w:cs="Times New Roman"/>
            <w:sz w:val="24"/>
            <w:szCs w:val="24"/>
            <w:lang w:eastAsia="ru-RU"/>
          </w:rPr>
          <w:t xml:space="preserve">2015 </w:t>
        </w:r>
        <w:proofErr w:type="spellStart"/>
        <w:r w:rsidRPr="00AE7160">
          <w:rPr>
            <w:rFonts w:ascii="Times New Roman" w:eastAsia="TimesNewRomanPSMT" w:hAnsi="Times New Roman" w:cs="Times New Roman"/>
            <w:sz w:val="24"/>
            <w:szCs w:val="24"/>
            <w:lang w:eastAsia="ru-RU"/>
          </w:rPr>
          <w:t>г</w:t>
        </w:r>
      </w:smartTag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.г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., являющейся частью Программы СЭР, в 2014 году продолжена работа по внедрению энергосберегающих и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технологий  в отношении жилого фонда и бюджетных учреждений. С целью оптимизации расходов были проведены работы</w:t>
      </w: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установкой светодиодных ламп в двух школах. Объем средств районного бюджета на реализацию мероприятий составил 0,88 млн. рублей.</w:t>
      </w:r>
    </w:p>
    <w:p w:rsidR="00AE7160" w:rsidRPr="00AE7160" w:rsidRDefault="00AE7160" w:rsidP="00AE7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распоряжением Правительства Республики Саха (Якутия) от 2 июня 2014 года № 571-р в 2014 году  поселениям Алданского района  выделены субсидии на реализацию мероприятий энергосбережения в многоквартирном жилищном фонде в размере 9,7 млн. рублей (с учетом остатка за 2013 год). Данные денежные средства, в первую очередь были направлены на промывку и испытание систем центрального отопления. Кроме этого проведены мероприятия по установке общедомовых приборов учета тепловой энергии (охвачено 9 домов), по установке в подъездах стеклопакетов в местах общего пользования многоквартирного жилого фонда (охвачено 36 домов), установка вентилей в подъездах (охвачено 9 домов), утепление фасада (охвачен 1 дом) . </w:t>
      </w:r>
    </w:p>
    <w:p w:rsidR="00AE7160" w:rsidRPr="00AE7160" w:rsidRDefault="00AE7160" w:rsidP="00AE7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160" w:rsidRPr="00AE7160" w:rsidRDefault="00AE7160" w:rsidP="00AE716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Жилищное строительство </w:t>
      </w:r>
    </w:p>
    <w:p w:rsidR="00AE7160" w:rsidRPr="00AE7160" w:rsidRDefault="00AE7160" w:rsidP="00AE716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Данным разделом предусматривается строительство как многоквартирного, так и индивидуального жилья. Следует отметить, что с 2014 года жилищное строительство активизировалось. В рамках мероприятий по повышению устойчивости многоквартирных жилых домов в сейсмических районах начато строительство трех 24-х квартирных жилых домов в городе Томмот по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ул.Кирова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д.6, д.10 и поселке Н. Куранах по ул. Новая д.87 общей площадью 1188,36 кв.м., с намеченным вводом в эксплуатацию в декабре 2015 года.</w:t>
      </w:r>
    </w:p>
    <w:p w:rsidR="00AE7160" w:rsidRPr="00AE7160" w:rsidRDefault="00AE7160" w:rsidP="00AE7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мае 2014 года по мероприятию «строительство жилищного фонда социального использования» начато строительство 12-ти квартирного дома по адресу город Алдан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ул.Кузнецова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д.28, общей площадью 530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кв.метров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. 3</w:t>
      </w: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-х этажное здание возведено, но проведение отделочных работ и сдача дома планируется в конце 2015 года.</w:t>
      </w:r>
    </w:p>
    <w:p w:rsidR="00AE7160" w:rsidRPr="00AE7160" w:rsidRDefault="00AE7160" w:rsidP="00AE716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Для переселения граждан из ветхого и аварийного жилого фонда заложены фундаменты  3-х жилых домов: в городе Томмот во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ул.Кирова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д.12 и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ул.Юбилейная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д.12, в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п.Нижний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Куранах  1-ом микрорайоне д.14, сдача которых намечена в 2015 году.</w:t>
      </w:r>
    </w:p>
    <w:p w:rsidR="00AE7160" w:rsidRPr="00AE7160" w:rsidRDefault="00AE7160" w:rsidP="00AE716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целях обеспечения детей сирот жилыми помещениями в 2014 году построен 3-х этажный, 15-ти квартирный жилой дом в городе Алдан по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д.12, заселение в который произойдет в начале 2015 года после оформления правоустанавливающих документов, также продолжается строительство двух 24-ех квартирных жилых дома в городе Алдан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ул.Дивизионная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д. 50а , которые будут сданы во 2 квартале 2015 года. Мероприятия по обеспечению детей – сирот жилыми помещениями осуществлялись за счет средств государственного бюджета РС(Я)  в объеме 47,3 млн. рублей, в том числе включены расходы на покупку 6-и квартир на вторичном рынке.</w:t>
      </w:r>
    </w:p>
    <w:p w:rsidR="00AE7160" w:rsidRPr="00AE7160" w:rsidRDefault="00AE7160" w:rsidP="00AE716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За счет собственных средств ОАО АК «Железные дороги Якутии»  начато строительство 48-ми квартирного жилого дома для железнодорожников в городе Алдан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ул.Маяковского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д.11. Объем работ по строительству жилого дома перенесен на 2015 год, завершение которых планируется на конец 2015 – начало 2016 года.</w:t>
      </w:r>
    </w:p>
    <w:p w:rsidR="00AE7160" w:rsidRPr="00AE7160" w:rsidRDefault="00AE7160" w:rsidP="00AE7160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  <w:t xml:space="preserve">В программе по обеспечению жильем молодых семей в 2014 году участниками реализовано право за 2013 год - 15 семьями, за 2014 год -51 семьей. Размер субсидии составил 53,3 млн. рублей,  ( из них федеральный бюджет-20,8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млн.руб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., Государственный </w:t>
      </w: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бюджет РС (Я) – 15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млн.руб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, местный бюджет – 17,5млн.руб), при этом собственные средства получателей субсидии составили 17,5 млн. рублей.</w:t>
      </w:r>
    </w:p>
    <w:p w:rsidR="00AE7160" w:rsidRPr="00AE7160" w:rsidRDefault="00AE7160" w:rsidP="00AE7160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  <w:t>Осуществлялось строительство индивидуального жилья по линии ФАПК «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Туймаада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» с выдачей  2 беспроцентных кредитов.</w:t>
      </w:r>
    </w:p>
    <w:p w:rsidR="00AE7160" w:rsidRPr="00AE7160" w:rsidRDefault="00AE7160" w:rsidP="00AE7160">
      <w:pPr>
        <w:widowControl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районе успешно реализуется Федеральная целевая программа «Устойчивое развитие сельских территорий» по обеспечению доступным жильем граждан, проживающих в сельской местности, молодых специалистов и их семей. В 2014 году Министерством сельского хозяйства было выделено 6 квот, которые были распределены комиссией по селам в следующих  сельских населенных пунктах:  2 квоты -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с.Угоян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4-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с.Хатыстыр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 </w:t>
      </w:r>
    </w:p>
    <w:p w:rsidR="00AE7160" w:rsidRPr="00AE7160" w:rsidRDefault="00AE7160" w:rsidP="00AE7160">
      <w:pPr>
        <w:widowControl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рамках государственной программы Республики Саха (Якутия) «Обеспечение качественным жильем на 2012-2017 годы» в части обустройства зон индивидуальной жилой застройки Алданского района по постановлению Правительства РС (Я) № 162 от 10.06.2014 была выделена субсидия в размере 4,08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а также средства из бюджета МО «Алданский район» в размере 1,9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Объем освоенных средств составил 4,78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 выполнение работ по прокладке новых сетей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тепловодоснабжения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от котельной по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ул.Павлова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г.Алдан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до распределительного устройства № 2.Улица Павлова относится к территориям новой застройки ИЖС.</w:t>
      </w:r>
    </w:p>
    <w:p w:rsidR="00AE7160" w:rsidRPr="00AE7160" w:rsidRDefault="00AE7160" w:rsidP="00AE7160">
      <w:pPr>
        <w:widowControl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E7160" w:rsidRPr="00AE7160" w:rsidRDefault="00AE7160" w:rsidP="00AE7160">
      <w:pPr>
        <w:widowControl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AE7160" w:rsidRPr="00AE7160" w:rsidRDefault="00AE7160" w:rsidP="00AE7160">
      <w:pPr>
        <w:widowControl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Оздоровление экологии и предупреждение ЧС.</w:t>
      </w:r>
    </w:p>
    <w:p w:rsidR="00AE7160" w:rsidRPr="00AE7160" w:rsidRDefault="00AE7160" w:rsidP="00AE7160">
      <w:pPr>
        <w:widowControl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Данным разделом предусмотрены мероприятия, связанные с улучшением экологической обстановки в районе.</w:t>
      </w:r>
    </w:p>
    <w:p w:rsidR="00AE7160" w:rsidRPr="00AE7160" w:rsidRDefault="00AE7160" w:rsidP="00AE7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этой целью предусмотрены мероприятия по размещению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твердобытовых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промышленных отходов в Алданском районе. По разработанному проекту рекультивации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мусоросвалки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2013 году, находящейся в с. Якокит, в 2014 году была завершена рекультивация данной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мусоросвалки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приемкой выполненных работ представителями Министерства охраны природы Республики Саха (Якутия),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по Республики Саха (Якутия),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объемом финансирования 1,1 млн. рублей.  </w:t>
      </w:r>
    </w:p>
    <w:p w:rsidR="00AE7160" w:rsidRPr="00AE7160" w:rsidRDefault="00AE7160" w:rsidP="00AE7160">
      <w:pPr>
        <w:spacing w:after="0" w:line="240" w:lineRule="auto"/>
        <w:ind w:firstLine="405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В рамках заключенного концессионного соглашения с ООО «ОСРП», данное предприятие выполняло работы по обустройству ТБО, а именно: заливка проездной обеззараживающей площадки, обустройство контрольными скважинами для забора грунтовых вод, очистка прилегающих территорий с вложением собственных средств в объеме 1,4 млн. рублей.</w:t>
      </w:r>
    </w:p>
    <w:p w:rsidR="00AE7160" w:rsidRPr="00AE7160" w:rsidRDefault="00AE7160" w:rsidP="00AE7160">
      <w:pPr>
        <w:spacing w:after="0" w:line="240" w:lineRule="auto"/>
        <w:ind w:firstLine="405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E7160" w:rsidRPr="00AE7160" w:rsidRDefault="00AE7160" w:rsidP="00AE7160">
      <w:pPr>
        <w:spacing w:after="0" w:line="240" w:lineRule="auto"/>
        <w:ind w:firstLine="405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Образование и  культура</w:t>
      </w:r>
    </w:p>
    <w:p w:rsidR="00AE7160" w:rsidRPr="00AE7160" w:rsidRDefault="00AE7160" w:rsidP="00AE7160">
      <w:pPr>
        <w:spacing w:after="0" w:line="240" w:lineRule="auto"/>
        <w:ind w:firstLine="405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Мероприятия, связанные с капитальными расходами, направленными на развитие социальной сферы представляют собой строительство новых объектов  и проведение капитальных ремонтов  муниципальных учреждений образования и культуры.</w:t>
      </w:r>
    </w:p>
    <w:p w:rsidR="00AE7160" w:rsidRPr="00AE7160" w:rsidRDefault="00AE7160" w:rsidP="00AE7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проведены капитальные ремонты в 6 муниципальных дошкольных учреждениях: «Крепыш», «Василек», «Снежинка», «Журавлик», «Чебурашка», «Солнышко»  на общую сумму 31,3   млн. рублей. В целях оснащения материально-технической базы и основных средств были приобретены игрушки, спортивное оборудование, игровые горки, мебель в сумме 2,3 млн. рублей. По обеспечению противопожарной, антитеррористической безопасности затрачено 6,9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работ по устройству ограждений территорий в 5 муниципальных дошкольных учреждениях: «Колобок», «Василек», «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«Радуга», «Чебурашка», а также на осуществление в 19 учреждениях противопожарных мероприятий (монтаж пожарной сигнализации, испытание электрооборудования).   </w:t>
      </w:r>
    </w:p>
    <w:p w:rsidR="00AE7160" w:rsidRPr="00AE7160" w:rsidRDefault="00AE7160" w:rsidP="00AE7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Общеобразовательные учреждения обновили материально-техническую базу: приобрели учебно-лабораторное оборудование, компьютерное оборудование, комплекты учебных пособий, учебные кабинеты  на общую сумму 19,4 млн. рублей. В 10 </w:t>
      </w: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общеобразовательных учреждениях проведен капитальный ремонт: СОШ № 1, СОШ №2, СОШ № 5,  СОШ № 6, СОШ № 10, СОШ № 13, СОШ № 37, СОШ с УИОП, Алданский лицей, В(С)ОШ с объемом финансирования  52,6 млн. рублей.  В 11 общеобразовательных учреждениях были проведены работы по обеспечению противопожарных мероприятий на сумму 1,4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160" w:rsidRPr="00AE7160" w:rsidRDefault="00AE7160" w:rsidP="00AE71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160">
        <w:rPr>
          <w:rFonts w:ascii="Times New Roman" w:eastAsia="Calibri" w:hAnsi="Times New Roman" w:cs="Times New Roman"/>
          <w:sz w:val="24"/>
          <w:szCs w:val="24"/>
        </w:rPr>
        <w:t xml:space="preserve">Приобретено оборудование для  летнего лагеря «Берег дружбы», а именно тумбочки, кровати. В летнем лагере были проведены следующие ремонтные работы: замена кровли клуба и административного здания, установка умывальников, </w:t>
      </w:r>
      <w:proofErr w:type="spellStart"/>
      <w:r w:rsidRPr="00AE7160">
        <w:rPr>
          <w:rFonts w:ascii="Times New Roman" w:eastAsia="Calibri" w:hAnsi="Times New Roman" w:cs="Times New Roman"/>
          <w:sz w:val="24"/>
          <w:szCs w:val="24"/>
        </w:rPr>
        <w:t>ногомойки</w:t>
      </w:r>
      <w:proofErr w:type="spellEnd"/>
      <w:r w:rsidRPr="00AE7160">
        <w:rPr>
          <w:rFonts w:ascii="Times New Roman" w:eastAsia="Calibri" w:hAnsi="Times New Roman" w:cs="Times New Roman"/>
          <w:sz w:val="24"/>
          <w:szCs w:val="24"/>
        </w:rPr>
        <w:t xml:space="preserve">, замена электропроводки. Объем финансирования  капитальных расходов по летнему лагерю составил 4 млн. рублей. </w:t>
      </w:r>
    </w:p>
    <w:p w:rsidR="00AE7160" w:rsidRPr="00AE7160" w:rsidRDefault="00AE7160" w:rsidP="00AE71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160">
        <w:rPr>
          <w:rFonts w:ascii="Times New Roman" w:eastAsia="Calibri" w:hAnsi="Times New Roman" w:cs="Times New Roman"/>
          <w:sz w:val="24"/>
          <w:szCs w:val="24"/>
        </w:rPr>
        <w:t>В рамках реализации общереспубликанского движения добрых дел «Моя Якутия в ХХ</w:t>
      </w:r>
      <w:r w:rsidRPr="00AE716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E7160">
        <w:rPr>
          <w:rFonts w:ascii="Times New Roman" w:eastAsia="Calibri" w:hAnsi="Times New Roman" w:cs="Times New Roman"/>
          <w:sz w:val="24"/>
          <w:szCs w:val="24"/>
        </w:rPr>
        <w:t xml:space="preserve"> веке» в перечне объектов спорта и физической культуры предусмотрено финансирование ДЮСШ в </w:t>
      </w:r>
      <w:proofErr w:type="spellStart"/>
      <w:r w:rsidRPr="00AE7160">
        <w:rPr>
          <w:rFonts w:ascii="Times New Roman" w:eastAsia="Calibri" w:hAnsi="Times New Roman" w:cs="Times New Roman"/>
          <w:sz w:val="24"/>
          <w:szCs w:val="24"/>
        </w:rPr>
        <w:t>с.Хатыстыр</w:t>
      </w:r>
      <w:proofErr w:type="spellEnd"/>
      <w:r w:rsidRPr="00AE7160">
        <w:rPr>
          <w:rFonts w:ascii="Times New Roman" w:eastAsia="Calibri" w:hAnsi="Times New Roman" w:cs="Times New Roman"/>
          <w:sz w:val="24"/>
          <w:szCs w:val="24"/>
        </w:rPr>
        <w:t xml:space="preserve"> с планируемым сроком ввода в 2015 году. Общий объем средств в 2014 году по данному объекту составил 7,2 </w:t>
      </w:r>
      <w:proofErr w:type="spellStart"/>
      <w:r w:rsidRPr="00AE7160">
        <w:rPr>
          <w:rFonts w:ascii="Times New Roman" w:eastAsia="Calibri" w:hAnsi="Times New Roman" w:cs="Times New Roman"/>
          <w:sz w:val="24"/>
          <w:szCs w:val="24"/>
        </w:rPr>
        <w:t>млн.рублей</w:t>
      </w:r>
      <w:proofErr w:type="spellEnd"/>
      <w:r w:rsidRPr="00AE7160">
        <w:rPr>
          <w:rFonts w:ascii="Times New Roman" w:eastAsia="Calibri" w:hAnsi="Times New Roman" w:cs="Times New Roman"/>
          <w:sz w:val="24"/>
          <w:szCs w:val="24"/>
        </w:rPr>
        <w:t xml:space="preserve">. Была разработана проектно-сметная документация, оплачены услуги технологического присоединения к электрическим сетям, частично произведены работы по вертикальной планировке объекта. </w:t>
      </w:r>
    </w:p>
    <w:p w:rsidR="00AE7160" w:rsidRPr="00AE7160" w:rsidRDefault="00AE7160" w:rsidP="00AE7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учреждениях дополнительного образования (спортивных школах) в целях улучшения материально-технической базы приобретено новое спортивное оборудование и инвентарь в размере 1 млн. рублей.</w:t>
      </w:r>
    </w:p>
    <w:p w:rsidR="00AE7160" w:rsidRPr="00AE7160" w:rsidRDefault="00AE7160" w:rsidP="00AE7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на проведение капитального ремонта районных учреждений культуры израсходовано 1,4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Полностью заменена система отопления в Центральной районной библиотеке им Н.А. Некрасова, а также осуществлен ремонт помещения. В части укрепления материально-технической базы учреждений культуры в 2014 году было израсходовано 2,7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закуп светового оборудования, спецэффектов сцены, автобус ПАЗ 320412-05. Школами искусств освоено 7,8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музыкальных инструментов. С целью комплектования библиотечных фондов для МЦРБ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им.Некрасова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библиотек поселений приобретены книги на 1,7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E7160" w:rsidRPr="00AE7160" w:rsidRDefault="00AE7160" w:rsidP="00AE7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культурно-спортивного комплекса в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с.Кутана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перечнем объектов, строящихся в рамках общереспубликанского движения добрых дел «Моя Якутия в ХХ</w:t>
      </w:r>
      <w:r w:rsidRPr="00AE71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веке». Объем финансирования данного объекта в 2014 году был осуществлен только из бюджета поселения в размере 1,76  млн. рублей на заливку фундамента, сборку арок и закуп материалов.</w:t>
      </w:r>
    </w:p>
    <w:p w:rsidR="00AE7160" w:rsidRPr="00AE7160" w:rsidRDefault="00AE7160" w:rsidP="00AE7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этнокультурного комплекса в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с.Угоян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профинансировано из местных бюджетов (поселения и района) в сумме 2,5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Объект сдан в эксплуатацию.   </w:t>
      </w:r>
    </w:p>
    <w:p w:rsidR="00AE7160" w:rsidRPr="00AE7160" w:rsidRDefault="00AE7160" w:rsidP="00AE71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160" w:rsidRPr="00AE7160" w:rsidRDefault="00AE7160" w:rsidP="00AE7160">
      <w:pPr>
        <w:widowControl w:val="0"/>
        <w:numPr>
          <w:ilvl w:val="1"/>
          <w:numId w:val="4"/>
        </w:numPr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Анализ выполнения в 2014 году по статье «прочие текущие расходы»</w:t>
      </w:r>
    </w:p>
    <w:p w:rsidR="00AE7160" w:rsidRPr="00AE7160" w:rsidRDefault="00AE7160" w:rsidP="00AE716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 и дорожное хозяйство.</w:t>
      </w:r>
    </w:p>
    <w:p w:rsidR="00AE7160" w:rsidRPr="00AE7160" w:rsidRDefault="00AE7160" w:rsidP="00AE7160">
      <w:pPr>
        <w:widowControl w:val="0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 расходы   транспортной отрасли в Программе СЭР направлены на возмещение убытков при осуществлении пассажирских  перевозок на железнодорожном и автомобильном транспорте  в виде  предоставления субсидий из федерального, республиканского  (на железнодорожном транспорте) и районного бюджетов (на автотранспорте). Объем финансирования убытков   железнодорожных  пассажирских перевозок  составил 240,2 млн. рублей, в том числе финансируемых из федерального бюджета – 225,1 млн. рублей, республиканского – 15,1 млн. рублей. Сумма субсидии по возмещению убытков пассажирских автобусных перевозок на межселенных маршрутах, выделяемая из районного бюджета  предприятию МУП АР «АПП» составила 14,8 млн. рублей.</w:t>
      </w:r>
    </w:p>
    <w:p w:rsidR="00AE7160" w:rsidRPr="00AE7160" w:rsidRDefault="00AE7160" w:rsidP="00AE7160">
      <w:pPr>
        <w:widowControl w:val="0"/>
        <w:spacing w:after="0" w:line="240" w:lineRule="auto"/>
        <w:ind w:firstLine="405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E7160" w:rsidRPr="00AE7160" w:rsidRDefault="00AE7160" w:rsidP="00AE7160">
      <w:pPr>
        <w:spacing w:after="0" w:line="240" w:lineRule="auto"/>
        <w:ind w:firstLine="405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Занятость населения</w:t>
      </w: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</w:t>
      </w:r>
    </w:p>
    <w:p w:rsidR="00AE7160" w:rsidRPr="00AE7160" w:rsidRDefault="00AE7160" w:rsidP="00AE7160">
      <w:pPr>
        <w:spacing w:after="0" w:line="240" w:lineRule="auto"/>
        <w:ind w:firstLine="405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Численность официально зарегистрированных безработных на 01.01.2015 г. по данным  ГУ «Центр занятости населения Алданского района» составила 177 человека, из </w:t>
      </w: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них женщины - 90, инвалиды – 6, лица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возраста - 19, молодежь в возрасте от 16 до 29 лет – 63 человека.  Реализация программных мероприятий по содействию занятости населения осуществлялась за счет федерального и государственного бюджета РС(Я)  в объеме 7,7 млн. и 3 млн. рублей соответственно. В 2014 году было трудоустроено 1480 человек от общего количества обратившихся граждан (2014 чел.), что составляет 73,4 %. Из общего количества граждан, признанных в установленном порядке безработными (483 чел), в течении отчетного периода было трудоустроено 216 человек, что составляет 44,7 %. Потребность в рабочей силе носит главным образом сезонный характер, так как вакансии образуются в геологоразведочных, строительных работах и по добыче полезных ископаемых. Поэтому численность заявленных вакансий возрастает в весенне-летний период и идет на спад осенью и зимой. В 2014 году пособие по безработице получило 585 человек, материальную помощь в связи с истечением установленного периода выплаты пособия по безработице – 22 человека, материальную помощь в период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профобучения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дополнительного профобразования безработных граждан – 40 человек, стипендия в период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профобучения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– 64 человека, досрочные пенсии – 2 человека.</w:t>
      </w:r>
    </w:p>
    <w:p w:rsidR="00AE7160" w:rsidRPr="00AE7160" w:rsidRDefault="00AE7160" w:rsidP="00AE7160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AE7160" w:rsidRPr="00AE7160" w:rsidRDefault="00AE7160" w:rsidP="00AE7160">
      <w:pPr>
        <w:spacing w:after="0" w:line="240" w:lineRule="auto"/>
        <w:ind w:firstLine="708"/>
        <w:jc w:val="both"/>
        <w:outlineLvl w:val="0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Предпринимательство и туризм. </w:t>
      </w:r>
    </w:p>
    <w:p w:rsidR="00AE7160" w:rsidRPr="00AE7160" w:rsidRDefault="00AE7160" w:rsidP="00AE716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 рамках реализации мероприятий по созданию благоприятного  предпринимательского и инвестиционного климата в 2014 году </w:t>
      </w: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оказана  финансовая  поддержка в виде субсидий  на возмещение части понесенных затрат  6-ти субъектам  малого  и среднего  предпринимательства и грантов 11-ти начинающим предпринимателям  на   конкурсной  основе.  Получателями  поддержки  создано  дополнительно  9  рабочих  мест. В результате   организованного республиканской Бизнес-школой   массового обучения основам предпринимательского дела, 298  слушателей получили сертификаты. Проведен обучающий семинар-тренинг на тему «Правовое обеспечение предпринимательской деятельности», выданы сертификаты о прохождении курсов 16 слушателям. Фондом поддержки  малого  и среднего  предпринимательства  муниципального  образования  «Алданский  район» на  льготных условиях предоставлено 8 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развитие бизнеса  начинающим  и действующим  предпринимателям на  общую  сумму 4,9 млн. рублей (из них 1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профинансировано из местного бюджета) </w:t>
      </w:r>
    </w:p>
    <w:p w:rsidR="00AE7160" w:rsidRPr="00AE7160" w:rsidRDefault="00AE7160" w:rsidP="00AE7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 поддержки, предусмотренные в программе СЭР, направлены на развитие сферы производства товаров, работ и услуг, рост налоговых поступлений в бюджет района, создание дополнительных рабочих мест, поддержку предпринимательских инициатив, проявление деловой активности в создании собственного дела.</w:t>
      </w:r>
    </w:p>
    <w:p w:rsidR="00AE7160" w:rsidRPr="00AE7160" w:rsidRDefault="00AE7160" w:rsidP="00AE7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реализации мероприятий в области  туризма, то в Алданском районе внутренний туризм представлен услугами частного характера. На территории  района не зарегистрированы действующие туристские маршруты. При объявлении конкурсов «Грант на усовершенствование действующих туристских маршрутов внутреннего и выездного туризма (для действующих более года)», «Создание туристских комплексов на территории перспективных туристско-рекреационных кластеров РС (Я)» (на условиях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заявок от субъектов малого и среднего предпринимательства не поступило. </w:t>
      </w:r>
    </w:p>
    <w:p w:rsidR="00AE7160" w:rsidRPr="00AE7160" w:rsidRDefault="00AE7160" w:rsidP="00AE7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160" w:rsidRPr="00AE7160" w:rsidRDefault="00AE7160" w:rsidP="00AE7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и культура</w:t>
      </w:r>
    </w:p>
    <w:p w:rsidR="00AE7160" w:rsidRPr="00AE7160" w:rsidRDefault="00AE7160" w:rsidP="00AE7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образование на территории МО «Алданский район» осуществляет 26 муниципальных дошкольных образовательных учреждений. Из них – 6 центров развития ребенка,1 –дошкольное образовательное учреждение компенсирующего вида, 1- дошкольное образовательное учреждение комбинированного вида, 13-дошкольных образовательных учреждений общеразвивающего вида, 5 – детских садов. Услугу дошкольного образования получают 2683 человека. Вошли в состав пилотных </w:t>
      </w: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дошкольных образовательных учреждений Республики Саха (Якутия), реализующих требования федерального государственного образовательного стандарта дошкольного образования, такие сады как «Крепыш», «Снежинка», «Олененок», «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Районными инновационными экспериментальными площадками являются следующие дошкольные образовательные учреждения: «Снежинка», «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Сардана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«Олененок», «Чебурашка».</w:t>
      </w:r>
    </w:p>
    <w:p w:rsidR="00AE7160" w:rsidRPr="00AE7160" w:rsidRDefault="00AE7160" w:rsidP="00AE7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очереди на получение места в дошкольном учреждении в возрасте от 0-3 лет состоит 491 ребёнок ( г.Алдан-408, с.Хатыстыр-83). В возрасте от 3-7 лет очередь в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с.Хатыстыр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12 человек, в городе Алдан в 2014 году по данной возрастной категории очередь ликвидирована, за счет создания 115 дополнительных мест, а именно за счет возврата в систему дошкольного образования 3-х групп в ДОУ «Снежинка», дополнительного создания группы в ДОУ «Чебурашка», а также наличия групп кратковременного пребывания для детей с ограниченными возможностями здоровья в действующих группах ДОУ. Строительства новых детских садов в 2014 году не осуществлялось.</w:t>
      </w:r>
    </w:p>
    <w:p w:rsidR="00AE7160" w:rsidRPr="00AE7160" w:rsidRDefault="00AE7160" w:rsidP="00AE7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Calibri" w:hAnsi="Times New Roman" w:cs="Times New Roman"/>
          <w:sz w:val="24"/>
          <w:szCs w:val="24"/>
        </w:rPr>
        <w:t xml:space="preserve">Общее образование  представлено 25 дневными и 1 вечерней (сменной) школами, статус малокомплектных имеют 9 общеобразовательных учреждений района. Всего в дневных школах обучается 4949 школьников, в вечерней школе – 138 учеников. </w:t>
      </w: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Ресурсным центром по дистанционному образованию для сельских малокомплектных школ является МБОУ «Гимназия п. Н. Куранах», а также работает в качестве ресурсного районного центра «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Золотинка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поддержки одаренных детей начальной школы. Организована проектная, учебно-исследовательская, творческая деятельность обучающихся.  Все дети – инвалиды, у которых нет противопоказаний по здоровью, обеспечены образованием на дому в дистанционной форме (по заявлению  родителей).</w:t>
      </w:r>
    </w:p>
    <w:p w:rsidR="00AE7160" w:rsidRPr="00AE7160" w:rsidRDefault="00AE7160" w:rsidP="00AE7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Летняя компания в Алданском районе охватила разные виды отдыха и оздоровления детей: 18 лагерей с дневным пребыванием и питанием (оздоровительные, спортивно-оздоровительные, палаточный лагерь).</w:t>
      </w:r>
      <w:r w:rsidRPr="00AE7160">
        <w:rPr>
          <w:rFonts w:ascii="Times New Roman" w:eastAsia="Calibri" w:hAnsi="Times New Roman" w:cs="Times New Roman"/>
          <w:sz w:val="24"/>
          <w:szCs w:val="24"/>
        </w:rPr>
        <w:t xml:space="preserve"> Загородный стационарный оздоровительный лагерь «Берег дружбы» принял 560 школьников. Общий охват детей организованных отдыхом и трудоустройством от общего числа в районе за три сезона составил 99,3 %.</w:t>
      </w:r>
    </w:p>
    <w:p w:rsidR="00AE7160" w:rsidRPr="00AE7160" w:rsidRDefault="00AE7160" w:rsidP="00AE7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160">
        <w:rPr>
          <w:rFonts w:ascii="Times New Roman" w:eastAsia="Calibri" w:hAnsi="Times New Roman" w:cs="Times New Roman"/>
          <w:sz w:val="24"/>
          <w:szCs w:val="24"/>
        </w:rPr>
        <w:tab/>
        <w:t>Текущие расходы по учреждениям культуры направлены на  проведение районных мероприятий, связанных с развитием пропаганды народной культуры в объеме 901 тыс. рублей.</w:t>
      </w:r>
    </w:p>
    <w:p w:rsidR="00AE7160" w:rsidRPr="00AE7160" w:rsidRDefault="00AE7160" w:rsidP="00AE7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160" w:rsidRPr="00AE7160" w:rsidRDefault="00AE7160" w:rsidP="00AE7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Физкультура и спорт. </w:t>
      </w:r>
    </w:p>
    <w:p w:rsidR="00AE7160" w:rsidRPr="00AE7160" w:rsidRDefault="00AE7160" w:rsidP="00AE7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программных мероприятий по физической культуре и спорту в 2014 году было проведено 74 спортивно-массовых мероприятия с освоением средств в размере 4,7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За пределы района  на соревнования различного уровня  выехало 1565 человека.</w:t>
      </w:r>
    </w:p>
    <w:p w:rsidR="00AE7160" w:rsidRPr="00AE7160" w:rsidRDefault="00AE7160" w:rsidP="00AE7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возрос интерес у населения к массовому участию в спортивных соревнованиях. Самыми популярными стали: Всероссийский день бега «Кросс Нации», Всероссийская массовая лыжная гонка «Лыжня России», «Ночная лыжная гонка».  В 2014 году лыжники района на соревнованиях различного уровня (Республиканские, всероссийские) завоевали 146 медалей. Результатом выступления дзюдоистов и самбистов за пределами района являются : 1 место в Первенстве России (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г.Липецк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9 человек призеров международных, всероссийских, дальневосточных турниров, Первенств и Чемпионатов.  Участвуя в </w:t>
      </w:r>
      <w:r w:rsidRPr="00AE71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играх народов РС(Я), сборная команда района завоевала 2 золотые медали. </w:t>
      </w:r>
    </w:p>
    <w:p w:rsidR="00AE7160" w:rsidRPr="00AE7160" w:rsidRDefault="00AE7160" w:rsidP="00AE7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160" w:rsidRPr="00AE7160" w:rsidRDefault="00AE7160" w:rsidP="00AE7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Молодежная политика.</w:t>
      </w: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160" w:rsidRPr="00AE7160" w:rsidRDefault="00AE7160" w:rsidP="00AE7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создания условий для успешной социализации и эффективной самореализации молодежи, а также развития потенциала молодежи были проведены такие мероприятия как: организация отборочного этапа деловой игры «Министр»,  День </w:t>
      </w: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призывника, месячник психологического здоровья, организация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–патриотических акций, проведен фестиваль авторской песни «Берег Дружбы», организованы мероприятия, направленные на проблему СПИДА, благотворительные акции «Письмо Деду Морозу» и др. с освоением средств в размере 2,27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млн.руб.местного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и 0,67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бюджета РС (Я)  </w:t>
      </w:r>
    </w:p>
    <w:p w:rsidR="00AE7160" w:rsidRPr="00AE7160" w:rsidRDefault="00AE7160" w:rsidP="00AE7160">
      <w:pPr>
        <w:widowControl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AE7160" w:rsidRPr="00AE7160" w:rsidRDefault="00AE7160" w:rsidP="00AE7160">
      <w:pPr>
        <w:widowControl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Сельское хозяйство</w:t>
      </w: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AE7160" w:rsidRPr="00AE7160" w:rsidRDefault="00AE7160" w:rsidP="00AE7160">
      <w:pPr>
        <w:widowControl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Предусмотренные Программой СЭР в 2014 году мероприятия по  сельскохозяйственной отрасли представлены в основном субсидиями на развитие животноводства, кормовой базы, растениеводства, отстрел волков, выплачиваемыми из республиканского и местного бюджетов. Общий объем  финансирования вышеназванных мероприятий составил  48,8 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млн.руб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., при этом значительная часть средств в размере 40,7 млн. рублей (83,4%)  направлена на поддержку традиционной отрасли –оленеводство. </w:t>
      </w:r>
      <w:proofErr w:type="spellStart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из местного бюджета по сельскому хозяйству в целом составило на  сумму 1,6 млн. рублей.</w:t>
      </w:r>
    </w:p>
    <w:p w:rsidR="00AE7160" w:rsidRPr="00AE7160" w:rsidRDefault="00AE7160" w:rsidP="00AE7160">
      <w:pPr>
        <w:widowControl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E7160" w:rsidRPr="00AE7160" w:rsidRDefault="00AE7160" w:rsidP="00AE7160">
      <w:pPr>
        <w:widowControl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Социальная защита </w:t>
      </w:r>
    </w:p>
    <w:p w:rsidR="00AE7160" w:rsidRPr="00AE7160" w:rsidRDefault="00AE7160" w:rsidP="00AE71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NewRomanPSMT" w:hAnsi="Times New Roman" w:cs="Times New Roman"/>
          <w:sz w:val="24"/>
          <w:szCs w:val="24"/>
          <w:lang w:eastAsia="ru-RU"/>
        </w:rPr>
        <w:t>В связи с тем, что</w:t>
      </w: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полномочия, связанные с социальной защитой населения переданы на республиканский уровень, в Программе  СЭР предусмотрена  мера социальной поддержки в виде  оплаты компенсации школьного питания  для детей из малообеспеченных семей, которая составила в 2014 году 17,7 млн. рублей. </w:t>
      </w:r>
    </w:p>
    <w:p w:rsidR="00AE7160" w:rsidRPr="00AE7160" w:rsidRDefault="00AE7160" w:rsidP="00AE71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160" w:rsidRPr="00AE7160" w:rsidRDefault="00AE7160" w:rsidP="00AE71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Земельно-имущественный комплекс.</w:t>
      </w: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160" w:rsidRPr="00AE7160" w:rsidRDefault="00AE7160" w:rsidP="00AE71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работы в 2014 году в сфере земельно-имущественных отношений были: инвентаризация, формирование и предоставление земель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сельхозназначения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; инвентаризация земельных участков земель промышленности; продажа земельных участков под коммерческое строительство; предоставление земельных участков под индивидуальное жилищное строительство; формирование земельных участков под строительство многоквартирных жилых домов и социальные объекты.</w:t>
      </w:r>
    </w:p>
    <w:p w:rsidR="00AE7160" w:rsidRPr="00AE7160" w:rsidRDefault="00AE7160" w:rsidP="00AE71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Продано на открытых аукционах 7 земельных участков под коммерческое строительство (подготовлено к продаже 21 земельный участок)</w:t>
      </w:r>
    </w:p>
    <w:p w:rsidR="00AE7160" w:rsidRPr="00AE7160" w:rsidRDefault="00AE7160" w:rsidP="00AE71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2014г. в  соответствии  с  земельным  законодательством  предоставлено  под  ИЖС  63  земельных  участков. Многодетным  семьям  на бесплатной основе выделено  52 земельных  участка для  строительства  индивидуальных   жилых  домов.</w:t>
      </w:r>
    </w:p>
    <w:p w:rsidR="00AE7160" w:rsidRPr="00AE7160" w:rsidRDefault="00AE7160" w:rsidP="00AE71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строительства  многоквартирных  жилых  домов  сформировано  10  земельных  участков,  6  из    которых  предоставлено  на  торгах  под  строительство.</w:t>
      </w:r>
    </w:p>
    <w:p w:rsidR="00AE7160" w:rsidRPr="00AE7160" w:rsidRDefault="00AE7160" w:rsidP="00AE71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  земельный  участок  под  строительство  культурно-спортивного комплекса </w:t>
      </w:r>
      <w:proofErr w:type="spellStart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п.Ленинский</w:t>
      </w:r>
      <w:proofErr w:type="spellEnd"/>
      <w:r w:rsidRPr="00AE7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160" w:rsidRPr="00AE7160" w:rsidRDefault="00AE7160" w:rsidP="00AE71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0B" w:rsidRPr="00FB300B" w:rsidRDefault="00FB300B" w:rsidP="00FB300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B300B" w:rsidRPr="00FB300B" w:rsidRDefault="00FB300B" w:rsidP="00FB300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B300B" w:rsidRPr="00FB300B" w:rsidRDefault="00FB300B" w:rsidP="00FB300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B300B" w:rsidRPr="00FB300B" w:rsidRDefault="00FB300B" w:rsidP="00FB300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B300B" w:rsidRPr="00FB300B" w:rsidRDefault="00FB300B" w:rsidP="00FB300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B300B" w:rsidRPr="00FB300B" w:rsidRDefault="00FB300B" w:rsidP="00FB300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B300B" w:rsidRPr="00FB300B" w:rsidRDefault="00FB300B" w:rsidP="00FB300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B300B" w:rsidRPr="00FB300B" w:rsidRDefault="00FB300B" w:rsidP="00FB300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B300B" w:rsidRPr="00FB300B" w:rsidRDefault="00FB300B" w:rsidP="00FB300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07DD0" w:rsidRDefault="00407DD0"/>
    <w:sectPr w:rsidR="0040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41B8"/>
    <w:multiLevelType w:val="hybridMultilevel"/>
    <w:tmpl w:val="C010A1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4335EB0"/>
    <w:multiLevelType w:val="hybridMultilevel"/>
    <w:tmpl w:val="7FCC4A72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">
    <w:nsid w:val="378A6906"/>
    <w:multiLevelType w:val="multilevel"/>
    <w:tmpl w:val="E8D00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C32597F"/>
    <w:multiLevelType w:val="hybridMultilevel"/>
    <w:tmpl w:val="6B2E24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0B"/>
    <w:rsid w:val="00121EE9"/>
    <w:rsid w:val="0017567C"/>
    <w:rsid w:val="00311E4E"/>
    <w:rsid w:val="003601F1"/>
    <w:rsid w:val="003E40E3"/>
    <w:rsid w:val="00407DD0"/>
    <w:rsid w:val="004F7070"/>
    <w:rsid w:val="00642295"/>
    <w:rsid w:val="006B7B0A"/>
    <w:rsid w:val="009352F7"/>
    <w:rsid w:val="00AE7160"/>
    <w:rsid w:val="00B90EBC"/>
    <w:rsid w:val="00FB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0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0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5157</Words>
  <Characters>29399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Тимофей</cp:lastModifiedBy>
  <cp:revision>2</cp:revision>
  <dcterms:created xsi:type="dcterms:W3CDTF">2015-05-29T01:54:00Z</dcterms:created>
  <dcterms:modified xsi:type="dcterms:W3CDTF">2015-05-29T01:54:00Z</dcterms:modified>
</cp:coreProperties>
</file>